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Arial" w:hAnsi="Arial"/>
          <w:b/>
          <w:i w:val="0"/>
          <w:color w:val="087E8B"/>
          <w:sz w:val="18"/>
        </w:rPr>
        <w:t>WEB-013   MAKNOW WEB ENGINEERING</w:t>
      </w:r>
    </w:p>
    <w:p>
      <w:pPr>
        <w:pStyle w:val="Title"/>
        <w:spacing w:before="0" w:after="20"/>
      </w:pPr>
      <w:r>
        <w:rPr>
          <w:rFonts w:ascii="Arial" w:hAnsi="Arial"/>
          <w:b/>
          <w:i w:val="0"/>
          <w:color w:val="000000"/>
          <w:sz w:val="44"/>
        </w:rPr>
        <w:t>Accessible Primitive Interaction Contract v1</w:t>
      </w:r>
    </w:p>
    <w:p>
      <w:pPr>
        <w:spacing w:after="60"/>
      </w:pPr>
      <w:r>
        <w:rPr>
          <w:rFonts w:ascii="Arial" w:hAnsi="Arial"/>
          <w:b/>
          <w:i w:val="0"/>
          <w:color w:val="7A5100"/>
          <w:sz w:val="20"/>
        </w:rPr>
        <w:t>Accessible UI Primitives, Focus, and Keyboard</w:t>
      </w:r>
    </w:p>
    <w:p>
      <w:pPr>
        <w:spacing w:before="0" w:after="50" w:line="240" w:lineRule="auto"/>
      </w:pPr>
      <w:r>
        <w:rPr>
          <w:rFonts w:ascii="Arial" w:hAnsi="Arial"/>
          <w:b/>
          <w:i w:val="0"/>
          <w:color w:val="000000"/>
          <w:sz w:val="16"/>
        </w:rPr>
        <w:t xml:space="preserve">Outcome. </w:t>
      </w:r>
      <w:r>
        <w:rPr>
          <w:rFonts w:ascii="Arial" w:hAnsi="Arial"/>
          <w:b w:val="0"/>
          <w:i w:val="0"/>
          <w:color w:val="152534"/>
          <w:sz w:val="16"/>
        </w:rPr>
        <w:t>Build one bounded interactive primitive with an explicit keyboard and focus contract, visible and predictable focus, native controls where possible, and executable evidence for entry, operation, exit, and focus restoration.</w:t>
      </w:r>
    </w:p>
    <w:p>
      <w:pPr>
        <w:spacing w:before="0" w:after="50" w:line="240" w:lineRule="auto"/>
      </w:pPr>
      <w:r>
        <w:rPr>
          <w:rFonts w:ascii="Arial" w:hAnsi="Arial"/>
          <w:b/>
          <w:i w:val="0"/>
          <w:color w:val="000000"/>
          <w:sz w:val="16"/>
        </w:rPr>
        <w:t xml:space="preserve">Evidence gate. </w:t>
      </w:r>
      <w:r>
        <w:rPr>
          <w:rFonts w:ascii="Arial" w:hAnsi="Arial"/>
          <w:b w:val="0"/>
          <w:i w:val="0"/>
          <w:color w:val="152534"/>
          <w:sz w:val="16"/>
        </w:rPr>
        <w:t>Accept only evidence that covers keyboard entry, activation, visible focus, owned dismissal paths, focus restoration or fallback, a detected mutation, repair, transfer, and a residual limitation.</w:t>
      </w:r>
    </w:p>
    <w:p>
      <w:pPr>
        <w:pStyle w:val="Heading1"/>
        <w:keepNext/>
        <w:spacing w:before="40" w:after="40"/>
      </w:pPr>
      <w:r>
        <w:rPr>
          <w:rFonts w:ascii="Arial" w:hAnsi="Arial"/>
          <w:b/>
          <w:i w:val="0"/>
          <w:color w:val="000000"/>
          <w:sz w:val="24"/>
        </w:rPr>
        <w:t>Component Boundary to Focus Restoration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67"/>
        <w:gridCol w:w="4867"/>
        <w:gridCol w:w="4867"/>
      </w:tblGrid>
      <w:tr>
        <w:tc>
          <w:tcPr>
            <w:tcW w:type="dxa" w:w="4925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DDF8FC"/>
            <w:tcBorders>
              <w:top w:val="single" w:sz="6" w:space="0" w:color="55D6E8"/>
              <w:left w:val="single" w:sz="6" w:space="0" w:color="55D6E8"/>
              <w:bottom w:val="single" w:sz="6" w:space="0" w:color="55D6E8"/>
              <w:right w:val="single" w:sz="6" w:space="0" w:color="55D6E8"/>
              <w:insideH w:val="single" w:sz="6" w:space="0" w:color="55D6E8"/>
              <w:insideV w:val="single" w:sz="6" w:space="0" w:color="55D6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3"/>
              </w:rPr>
              <w:t>01  ENTRY</w:t>
              <w:br/>
              <w:t>Authority: Defines how the invoker receives focus and activates</w:t>
              <w:br/>
              <w:t>Boundary: Pointer success does not prove keyboard entry</w:t>
            </w:r>
          </w:p>
        </w:tc>
        <w:tc>
          <w:tcPr>
            <w:tcW w:type="dxa" w:w="4925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E4EEFF"/>
            <w:tcBorders>
              <w:top w:val="single" w:sz="6" w:space="0" w:color="6EA8FE"/>
              <w:left w:val="single" w:sz="6" w:space="0" w:color="6EA8FE"/>
              <w:bottom w:val="single" w:sz="6" w:space="0" w:color="6EA8FE"/>
              <w:right w:val="single" w:sz="6" w:space="0" w:color="6EA8FE"/>
              <w:insideH w:val="single" w:sz="6" w:space="0" w:color="6EA8FE"/>
              <w:insideV w:val="single" w:sz="6" w:space="0" w:color="6EA8FE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3"/>
              </w:rPr>
              <w:t>02  ACTIVE FOCUS</w:t>
              <w:br/>
              <w:t>Authority: Places focus at the first meaningful target when the primitive opens</w:t>
              <w:br/>
              <w:t>Boundary: Focus location must be observed, not inferred from appearance</w:t>
            </w:r>
          </w:p>
        </w:tc>
        <w:tc>
          <w:tcPr>
            <w:tcW w:type="dxa" w:w="4925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EEEAFE"/>
            <w:tcBorders>
              <w:top w:val="single" w:sz="6" w:space="0" w:color="A594FF"/>
              <w:left w:val="single" w:sz="6" w:space="0" w:color="A594FF"/>
              <w:bottom w:val="single" w:sz="6" w:space="0" w:color="A594FF"/>
              <w:right w:val="single" w:sz="6" w:space="0" w:color="A594FF"/>
              <w:insideH w:val="single" w:sz="6" w:space="0" w:color="A594FF"/>
              <w:insideV w:val="single" w:sz="6" w:space="0" w:color="A594FF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3"/>
              </w:rPr>
              <w:t>03  KEYBOARD ACTION</w:t>
              <w:br/>
              <w:t>Authority: Uses native activation or the pattern-specific key contract</w:t>
              <w:br/>
              <w:t>Boundary: ARIA semantics do not attach keyboard behavior</w:t>
            </w:r>
          </w:p>
        </w:tc>
      </w:tr>
      <w:tr>
        <w:tc>
          <w:tcPr>
            <w:tcW w:type="dxa" w:w="4925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2D8"/>
            <w:tcBorders>
              <w:top w:val="single" w:sz="6" w:space="0" w:color="F6BD62"/>
              <w:left w:val="single" w:sz="6" w:space="0" w:color="F6BD62"/>
              <w:bottom w:val="single" w:sz="6" w:space="0" w:color="F6BD62"/>
              <w:right w:val="single" w:sz="6" w:space="0" w:color="F6BD62"/>
              <w:insideH w:val="single" w:sz="6" w:space="0" w:color="F6BD62"/>
              <w:insideV w:val="single" w:sz="6" w:space="0" w:color="F6BD62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3"/>
              </w:rPr>
              <w:t>04  STATE CHANGE</w:t>
              <w:br/>
              <w:t>Authority: Separates focus, selection, expanded state, and applied values</w:t>
              <w:br/>
              <w:t>Boundary: Do not treat the focused item as automatically selected</w:t>
            </w:r>
          </w:p>
        </w:tc>
        <w:tc>
          <w:tcPr>
            <w:tcW w:type="dxa" w:w="4925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E0F8EF"/>
            <w:tcBorders>
              <w:top w:val="single" w:sz="6" w:space="0" w:color="55D6A6"/>
              <w:left w:val="single" w:sz="6" w:space="0" w:color="55D6A6"/>
              <w:bottom w:val="single" w:sz="6" w:space="0" w:color="55D6A6"/>
              <w:right w:val="single" w:sz="6" w:space="0" w:color="55D6A6"/>
              <w:insideH w:val="single" w:sz="6" w:space="0" w:color="55D6A6"/>
              <w:insideV w:val="single" w:sz="6" w:space="0" w:color="55D6A6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3"/>
              </w:rPr>
              <w:t>05  EXIT AND RETURN</w:t>
              <w:br/>
              <w:t>Authority: Dismisses through owned paths and restores a sensible focus target</w:t>
              <w:br/>
              <w:t>Boundary: Handle the case where the original invoker no longer exists</w:t>
            </w:r>
          </w:p>
        </w:tc>
        <w:tc>
          <w:tcPr>
            <w:tcW w:type="dxa" w:w="4925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E8E8"/>
            <w:tcBorders>
              <w:top w:val="single" w:sz="6" w:space="0" w:color="FF7F7F"/>
              <w:left w:val="single" w:sz="6" w:space="0" w:color="FF7F7F"/>
              <w:bottom w:val="single" w:sz="6" w:space="0" w:color="FF7F7F"/>
              <w:right w:val="single" w:sz="6" w:space="0" w:color="FF7F7F"/>
              <w:insideH w:val="single" w:sz="6" w:space="0" w:color="FF7F7F"/>
              <w:insideV w:val="single" w:sz="6" w:space="0" w:color="FF7F7F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3"/>
              </w:rPr>
              <w:t>06  EVIDENCE</w:t>
              <w:br/>
              <w:t>Authority: Records focus sequence, visible treatment, action, mutation, and repair</w:t>
              <w:br/>
              <w:t>Boundary: A structural checker is not a complete accessibility verdict</w:t>
            </w:r>
          </w:p>
        </w:tc>
      </w:tr>
    </w:tbl>
    <w:p>
      <w:pPr>
        <w:pStyle w:val="Heading1"/>
        <w:keepNext/>
        <w:spacing w:before="40" w:after="40"/>
      </w:pPr>
      <w:r>
        <w:rPr>
          <w:rFonts w:ascii="Arial" w:hAnsi="Arial"/>
          <w:b/>
          <w:i w:val="0"/>
          <w:color w:val="000000"/>
          <w:sz w:val="24"/>
        </w:rPr>
        <w:t>Identity, decision, and claim boundary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232"/>
        <w:gridCol w:w="4752"/>
        <w:gridCol w:w="2232"/>
        <w:gridCol w:w="5616"/>
      </w:tblGrid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DDF8FC"/>
            <w:tcBorders>
              <w:top w:val="single" w:sz="6" w:space="0" w:color="55D6E8"/>
              <w:left w:val="single" w:sz="6" w:space="0" w:color="55D6E8"/>
              <w:bottom w:val="single" w:sz="6" w:space="0" w:color="55D6E8"/>
              <w:right w:val="single" w:sz="6" w:space="0" w:color="55D6E8"/>
              <w:insideH w:val="single" w:sz="6" w:space="0" w:color="55D6E8"/>
              <w:insideV w:val="single" w:sz="6" w:space="0" w:color="55D6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Learner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AAB8C8"/>
                <w:sz w:val="12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DDF8FC"/>
            <w:tcBorders>
              <w:top w:val="single" w:sz="6" w:space="0" w:color="55D6E8"/>
              <w:left w:val="single" w:sz="6" w:space="0" w:color="55D6E8"/>
              <w:bottom w:val="single" w:sz="6" w:space="0" w:color="55D6E8"/>
              <w:right w:val="single" w:sz="6" w:space="0" w:color="55D6E8"/>
              <w:insideH w:val="single" w:sz="6" w:space="0" w:color="55D6E8"/>
              <w:insideV w:val="single" w:sz="6" w:space="0" w:color="55D6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Reviewer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AAB8C8"/>
                <w:sz w:val="12"/>
              </w:rPr>
              <w:t>________________________________________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DDF8FC"/>
            <w:tcBorders>
              <w:top w:val="single" w:sz="6" w:space="0" w:color="55D6E8"/>
              <w:left w:val="single" w:sz="6" w:space="0" w:color="55D6E8"/>
              <w:bottom w:val="single" w:sz="6" w:space="0" w:color="55D6E8"/>
              <w:right w:val="single" w:sz="6" w:space="0" w:color="55D6E8"/>
              <w:insideH w:val="single" w:sz="6" w:space="0" w:color="55D6E8"/>
              <w:insideV w:val="single" w:sz="6" w:space="0" w:color="55D6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Case / attempt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AAB8C8"/>
                <w:sz w:val="12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DDF8FC"/>
            <w:tcBorders>
              <w:top w:val="single" w:sz="6" w:space="0" w:color="55D6E8"/>
              <w:left w:val="single" w:sz="6" w:space="0" w:color="55D6E8"/>
              <w:bottom w:val="single" w:sz="6" w:space="0" w:color="55D6E8"/>
              <w:right w:val="single" w:sz="6" w:space="0" w:color="55D6E8"/>
              <w:insideH w:val="single" w:sz="6" w:space="0" w:color="55D6E8"/>
              <w:insideV w:val="single" w:sz="6" w:space="0" w:color="55D6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Capture date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AAB8C8"/>
                <w:sz w:val="12"/>
              </w:rPr>
              <w:t>________________________________________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DDF8FC"/>
            <w:tcBorders>
              <w:top w:val="single" w:sz="6" w:space="0" w:color="55D6E8"/>
              <w:left w:val="single" w:sz="6" w:space="0" w:color="55D6E8"/>
              <w:bottom w:val="single" w:sz="6" w:space="0" w:color="55D6E8"/>
              <w:right w:val="single" w:sz="6" w:space="0" w:color="55D6E8"/>
              <w:insideH w:val="single" w:sz="6" w:space="0" w:color="55D6E8"/>
              <w:insideV w:val="single" w:sz="6" w:space="0" w:color="55D6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Scenario / concern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AAB8C8"/>
                <w:sz w:val="12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DDF8FC"/>
            <w:tcBorders>
              <w:top w:val="single" w:sz="6" w:space="0" w:color="55D6E8"/>
              <w:left w:val="single" w:sz="6" w:space="0" w:color="55D6E8"/>
              <w:bottom w:val="single" w:sz="6" w:space="0" w:color="55D6E8"/>
              <w:right w:val="single" w:sz="6" w:space="0" w:color="55D6E8"/>
              <w:insideH w:val="single" w:sz="6" w:space="0" w:color="55D6E8"/>
              <w:insideV w:val="single" w:sz="6" w:space="0" w:color="55D6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Decision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ACCEPT / REPAIR / DEFER</w:t>
            </w:r>
          </w:p>
        </w:tc>
      </w:tr>
    </w:tbl>
    <w:p>
      <w:pPr>
        <w:spacing w:before="0" w:after="0" w:line="240" w:lineRule="auto"/>
      </w:pPr>
      <w:r>
        <w:rPr>
          <w:rFonts w:ascii="Arial" w:hAnsi="Arial"/>
          <w:b/>
          <w:i w:val="0"/>
          <w:color w:val="000000"/>
          <w:sz w:val="14"/>
        </w:rPr>
        <w:t xml:space="preserve">Claim boundary. </w:t>
      </w:r>
      <w:r>
        <w:rPr>
          <w:rFonts w:ascii="Arial" w:hAnsi="Arial"/>
          <w:b w:val="0"/>
          <w:i w:val="0"/>
          <w:color w:val="152534"/>
          <w:sz w:val="14"/>
        </w:rPr>
        <w:t>This is a bounded executable lab. Retain implementation, applicable runtime, browser, DOM, or tool observations, mutation, repair, transfer, and residual-limit evidence; one passing checker is not whole-system proof. No accessible-interaction claim is accepted from role or appearance alone; retain semantic, keyboard, focus, mutation, repair, transfer, and limitation evidence.</w:t>
      </w:r>
    </w:p>
    <w:p>
      <w:r>
        <w:br w:type="page"/>
      </w:r>
    </w:p>
    <w:p>
      <w:pPr>
        <w:spacing w:before="0" w:after="40"/>
      </w:pPr>
      <w:r>
        <w:rPr>
          <w:rFonts w:ascii="Arial" w:hAnsi="Arial"/>
          <w:b/>
          <w:i w:val="0"/>
          <w:color w:val="087E8B"/>
          <w:sz w:val="18"/>
        </w:rPr>
        <w:t>WEB-013   FIELD GUIDE</w:t>
      </w:r>
    </w:p>
    <w:p>
      <w:pPr>
        <w:pStyle w:val="Heading1"/>
        <w:keepNext/>
        <w:spacing w:before="40" w:after="40"/>
      </w:pPr>
      <w:r>
        <w:rPr>
          <w:rFonts w:ascii="Arial" w:hAnsi="Arial"/>
          <w:b/>
          <w:i w:val="0"/>
          <w:color w:val="000000"/>
          <w:sz w:val="24"/>
        </w:rPr>
        <w:t>Required record fields and evidence tests</w:t>
      </w:r>
    </w:p>
    <w:p>
      <w:pPr>
        <w:spacing w:before="0" w:after="50" w:line="240" w:lineRule="auto"/>
      </w:pPr>
      <w:r>
        <w:rPr>
          <w:rFonts w:ascii="Arial" w:hAnsi="Arial"/>
          <w:b w:val="0"/>
          <w:i w:val="0"/>
          <w:color w:val="152534"/>
          <w:sz w:val="15"/>
        </w:rPr>
        <w:t>A field is complete only when its value is bounded, traceable, and classified. Use UNKNOWN when the required observation is unavailable or contradictory.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80"/>
        <w:gridCol w:w="3960"/>
        <w:gridCol w:w="4536"/>
        <w:gridCol w:w="3384"/>
      </w:tblGrid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Field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Question to close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Minimum evidence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Invalid promotion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scenario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What does scenario mean in this case?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Bounded scenario fact, source, or observable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Inference can be relabeled as observation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contract_step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What does contract step mean in this case?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Bounded scenario fact, source, or observable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Inference can be relabeled as observation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primitive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What does primitive mean in this case?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Bounded scenario fact, source, or observable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Inference can be relabeled as observation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expected_keyboard_path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What does expected keyboard path mean in this case?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Bounded scenario fact, source, or observable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Inference can be relabeled as observation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semantic_mechanism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What does semantic mechanism mean in this case?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Bounded scenario fact, source, or observable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Inference can be relabeled as observation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focus_before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What does focus before mean in this case?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Bounded scenario fact, source, or observable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Inference can be relabeled as observation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focus_after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What does focus after mean in this case?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Bounded scenario fact, source, or observable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Inference can be relabeled as observation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focus_visible_observation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What does focus visible observation mean in this case?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Bounded scenario fact, source, or observable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Inference can be relabeled as observation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keyboard_observation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What does keyboard observation mean in this case?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Bounded scenario fact, source, or observable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Inference can be relabeled as observation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mutation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What does mutation mean in this case?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Bounded scenario fact, source, or observable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Inference can be relabeled as observation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repair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What does repair mean in this case?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Bounded scenario fact, source, or observable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Inference can be relabeled as observation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observation_vs_inference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Which facts support observation vs inference?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Reasoning tied to an observation and explicit limit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Plausibility is treated as proof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residual_limitation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What remains outside residual limitation?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Explicit unknown, constraint, or non-claim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Missing evidence is hidden or converted to confidence</w:t>
            </w:r>
          </w:p>
        </w:tc>
      </w:tr>
    </w:tbl>
    <w:p>
      <w:pPr>
        <w:pStyle w:val="Heading1"/>
        <w:keepNext/>
        <w:spacing w:before="40" w:after="40"/>
      </w:pPr>
      <w:r>
        <w:rPr>
          <w:rFonts w:ascii="Arial" w:hAnsi="Arial"/>
          <w:b/>
          <w:i w:val="0"/>
          <w:color w:val="000000"/>
          <w:sz w:val="24"/>
        </w:rPr>
        <w:t>Evidence and failure states</w:t>
      </w:r>
    </w:p>
    <w:p>
      <w:pPr>
        <w:spacing w:before="0" w:after="0" w:line="240" w:lineRule="auto"/>
      </w:pPr>
      <w:r>
        <w:rPr>
          <w:rFonts w:ascii="Arial" w:hAnsi="Arial"/>
          <w:b w:val="0"/>
          <w:i w:val="0"/>
          <w:color w:val="152534"/>
          <w:sz w:val="14"/>
        </w:rPr>
        <w:t>Evidence: OBSERVED / INFERRED / UNKNOWN. Decisions: ACCEPT / REPAIR / DEFER. Failure layers: SEMANTICS / FOCUSABILITY / KEYBOARD / FOCUS_VISIBLE / STATE / RESTORATION.</w:t>
      </w:r>
    </w:p>
    <w:p>
      <w:r>
        <w:br w:type="page"/>
      </w:r>
    </w:p>
    <w:p>
      <w:pPr>
        <w:spacing w:before="0" w:after="40"/>
      </w:pPr>
      <w:r>
        <w:rPr>
          <w:rFonts w:ascii="Arial" w:hAnsi="Arial"/>
          <w:b/>
          <w:i w:val="0"/>
          <w:color w:val="087E8B"/>
          <w:sz w:val="18"/>
        </w:rPr>
        <w:t>WEB-013   GOVERNED EXAMPLE</w:t>
      </w:r>
    </w:p>
    <w:p>
      <w:pPr>
        <w:pStyle w:val="Heading1"/>
        <w:keepNext/>
        <w:spacing w:before="40" w:after="40"/>
      </w:pPr>
      <w:r>
        <w:rPr>
          <w:rFonts w:ascii="Arial" w:hAnsi="Arial"/>
          <w:b/>
          <w:i w:val="0"/>
          <w:color w:val="000000"/>
          <w:sz w:val="24"/>
        </w:rPr>
        <w:t>Accessible Primitive Interaction Contract</w:t>
      </w:r>
    </w:p>
    <w:p>
      <w:pPr>
        <w:spacing w:before="0" w:after="50" w:line="240" w:lineRule="auto"/>
      </w:pPr>
      <w:r>
        <w:rPr>
          <w:rFonts w:ascii="Arial" w:hAnsi="Arial"/>
          <w:b w:val="0"/>
          <w:i w:val="0"/>
          <w:color w:val="152534"/>
          <w:sz w:val="15"/>
        </w:rPr>
        <w:t>English support projection from derived_text/tables/WEB-013-TAB1.example.en-US.json. This example demonstrates field relationships; it does not supply the learner's transfer or final decision evidence.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80"/>
        <w:gridCol w:w="4680"/>
        <w:gridCol w:w="3960"/>
        <w:gridCol w:w="3240"/>
      </w:tblGrid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Field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Governed example value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Evidence question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Boundary check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scenario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baseline-open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What observation supports scenario?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Is the conclusion no stronger than this value?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contract_step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entry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What observation supports contract step?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Is the conclusion no stronger than this value?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primitive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filter dialog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What observation supports primitive?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Is the conclusion no stronger than this value?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expected_keyboard_path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Tab to Filters; Enter or Space activates native button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What observation supports expected keyboard path?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Is the conclusion no stronger than this value?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semantic_mechanism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native button plus native dialog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What observation supports semantic mechanism?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Is the conclusion no stronger than this value?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focus_before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Filters trigger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What observation supports focus before?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Is the conclusion no stronger than this value?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focus_after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first meaningful dialog control, to be observed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What observation supports focus after?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Is the conclusion no stronger than this value?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focus_visible_observation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to be observed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What observation supports focus visible observation?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Is the conclusion no stronger than this value?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keyboard_observation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to be observed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What observation supports keyboard observation?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Is the conclusion no stronger than this value?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mutation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none in baseline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What observation supports mutation?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Is the conclusion no stronger than this value?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repair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none in baseline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What observation supports repair?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Is the conclusion no stronger than this value?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observation_vs_inference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separate both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What observation supports observation vs inference?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Is the conclusion no stronger than this value?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residual_limitation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record tested browser and environment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What observation supports residual limitation?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Is the conclusion no stronger than this value?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3024"/>
        <w:gridCol w:w="11808"/>
      </w:tblGrid>
      <w:tr>
        <w:tc>
          <w:tcPr>
            <w:tcW w:type="dxa" w:w="7301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E0F8EF"/>
            <w:tcBorders>
              <w:top w:val="single" w:sz="6" w:space="0" w:color="55D6A6"/>
              <w:left w:val="single" w:sz="6" w:space="0" w:color="55D6A6"/>
              <w:bottom w:val="single" w:sz="6" w:space="0" w:color="55D6A6"/>
              <w:right w:val="single" w:sz="6" w:space="0" w:color="55D6A6"/>
              <w:insideH w:val="single" w:sz="6" w:space="0" w:color="55D6A6"/>
              <w:insideV w:val="single" w:sz="6" w:space="0" w:color="55D6A6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Source-package validation</w:t>
            </w:r>
          </w:p>
        </w:tc>
        <w:tc>
          <w:tcPr>
            <w:tcW w:type="dxa" w:w="7301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E0F8EF"/>
            <w:tcBorders>
              <w:top w:val="single" w:sz="6" w:space="0" w:color="55D6A6"/>
              <w:left w:val="single" w:sz="6" w:space="0" w:color="55D6A6"/>
              <w:bottom w:val="single" w:sz="6" w:space="0" w:color="55D6A6"/>
              <w:right w:val="single" w:sz="6" w:space="0" w:color="55D6A6"/>
              <w:insideH w:val="single" w:sz="6" w:space="0" w:color="55D6A6"/>
              <w:insideV w:val="single" w:sz="6" w:space="0" w:color="55D6A6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ACCEPTED_IMPORTABLE; 0 blockers; 0 warnings · QA_ACCEPTED_ELIGIBLE</w:t>
            </w:r>
          </w:p>
        </w:tc>
      </w:tr>
    </w:tbl>
    <w:p>
      <w:r>
        <w:br w:type="page"/>
      </w:r>
    </w:p>
    <w:p>
      <w:pPr>
        <w:spacing w:before="0" w:after="40"/>
      </w:pPr>
      <w:r>
        <w:rPr>
          <w:rFonts w:ascii="Arial" w:hAnsi="Arial"/>
          <w:b/>
          <w:i w:val="0"/>
          <w:color w:val="087E8B"/>
          <w:sz w:val="18"/>
        </w:rPr>
        <w:t>WEB-013   BLANK RECORD</w:t>
      </w:r>
    </w:p>
    <w:p>
      <w:pPr>
        <w:pStyle w:val="Heading1"/>
        <w:keepNext/>
        <w:spacing w:before="40" w:after="40"/>
      </w:pPr>
      <w:r>
        <w:rPr>
          <w:rFonts w:ascii="Arial" w:hAnsi="Arial"/>
          <w:b/>
          <w:i w:val="0"/>
          <w:color w:val="000000"/>
          <w:sz w:val="24"/>
        </w:rPr>
        <w:t>Complete Accessible Primitive Interaction Contract v1</w:t>
      </w:r>
    </w:p>
    <w:p>
      <w:pPr>
        <w:spacing w:before="0" w:after="50" w:line="240" w:lineRule="auto"/>
      </w:pPr>
      <w:r>
        <w:rPr>
          <w:rFonts w:ascii="Arial" w:hAnsi="Arial"/>
          <w:b w:val="0"/>
          <w:i w:val="0"/>
          <w:color w:val="152534"/>
          <w:sz w:val="15"/>
        </w:rPr>
        <w:t>Enter one bounded value per required field. Every material entry needs an evidence locator and a state. Use additional workbook rows when the artifact needs multiple concerns, responsibilities, resources, or path steps.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96"/>
        <w:gridCol w:w="4896"/>
        <w:gridCol w:w="3816"/>
        <w:gridCol w:w="3024"/>
      </w:tblGrid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Required field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Learner value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Evidence locator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State / review note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scenario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OBSERVED / INFERRED / UNKNOWN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contract_step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OBSERVED / INFERRED / UNKNOWN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primitive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OBSERVED / INFERRED / UNKNOWN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expected_keyboard_path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OBSERVED / INFERRED / UNKNOWN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semantic_mechanism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OBSERVED / INFERRED / UNKNOWN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focus_before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OBSERVED / INFERRED / UNKNOWN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focus_after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OBSERVED / INFERRED / UNKNOWN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focus_visible_observation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OBSERVED / INFERRED / UNKNOWN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keyboard_observation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OBSERVED / INFERRED / UNKNOWN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mutation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OBSERVED / INFERRED / UNKNOWN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repair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OBSERVED / INFERRED / UNKNOWN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observation_vs_inference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OBSERVED / INFERRED / UNKNOWN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residual_limitation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OBSERVED / INFERRED / UNKNOWN</w:t>
            </w:r>
          </w:p>
        </w:tc>
      </w:tr>
    </w:tbl>
    <w:p>
      <w:pPr>
        <w:pStyle w:val="Heading1"/>
        <w:keepNext/>
        <w:spacing w:before="40" w:after="40"/>
      </w:pPr>
      <w:r>
        <w:rPr>
          <w:rFonts w:ascii="Arial" w:hAnsi="Arial"/>
          <w:b/>
          <w:i w:val="0"/>
          <w:color w:val="000000"/>
          <w:sz w:val="24"/>
        </w:rPr>
        <w:t>Human closure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3650"/>
        <w:gridCol w:w="3650"/>
        <w:gridCol w:w="3650"/>
        <w:gridCol w:w="3650"/>
      </w:tblGrid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2D8"/>
            <w:tcBorders>
              <w:top w:val="single" w:sz="6" w:space="0" w:color="F6BD62"/>
              <w:left w:val="single" w:sz="6" w:space="0" w:color="F6BD62"/>
              <w:bottom w:val="single" w:sz="6" w:space="0" w:color="F6BD62"/>
              <w:right w:val="single" w:sz="6" w:space="0" w:color="F6BD62"/>
              <w:insideH w:val="single" w:sz="6" w:space="0" w:color="F6BD62"/>
              <w:insideV w:val="single" w:sz="6" w:space="0" w:color="F6BD62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Decision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ACCEPT / REPAIR / DEFER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2D8"/>
            <w:tcBorders>
              <w:top w:val="single" w:sz="6" w:space="0" w:color="F6BD62"/>
              <w:left w:val="single" w:sz="6" w:space="0" w:color="F6BD62"/>
              <w:bottom w:val="single" w:sz="6" w:space="0" w:color="F6BD62"/>
              <w:right w:val="single" w:sz="6" w:space="0" w:color="F6BD62"/>
              <w:insideH w:val="single" w:sz="6" w:space="0" w:color="F6BD62"/>
              <w:insideV w:val="single" w:sz="6" w:space="0" w:color="F6BD62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Reviewer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AAB8C8"/>
                <w:sz w:val="12"/>
              </w:rPr>
              <w:t>________________________________________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2D8"/>
            <w:tcBorders>
              <w:top w:val="single" w:sz="6" w:space="0" w:color="F6BD62"/>
              <w:left w:val="single" w:sz="6" w:space="0" w:color="F6BD62"/>
              <w:bottom w:val="single" w:sz="6" w:space="0" w:color="F6BD62"/>
              <w:right w:val="single" w:sz="6" w:space="0" w:color="F6BD62"/>
              <w:insideH w:val="single" w:sz="6" w:space="0" w:color="F6BD62"/>
              <w:insideV w:val="single" w:sz="6" w:space="0" w:color="F6BD62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Residual uncertainty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AAB8C8"/>
                <w:sz w:val="12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2D8"/>
            <w:tcBorders>
              <w:top w:val="single" w:sz="6" w:space="0" w:color="F6BD62"/>
              <w:left w:val="single" w:sz="6" w:space="0" w:color="F6BD62"/>
              <w:bottom w:val="single" w:sz="6" w:space="0" w:color="F6BD62"/>
              <w:right w:val="single" w:sz="6" w:space="0" w:color="F6BD62"/>
              <w:insideH w:val="single" w:sz="6" w:space="0" w:color="F6BD62"/>
              <w:insideV w:val="single" w:sz="6" w:space="0" w:color="F6BD62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Consequence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AAB8C8"/>
                <w:sz w:val="12"/>
              </w:rPr>
              <w:t>________________________________________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2D8"/>
            <w:tcBorders>
              <w:top w:val="single" w:sz="6" w:space="0" w:color="F6BD62"/>
              <w:left w:val="single" w:sz="6" w:space="0" w:color="F6BD62"/>
              <w:bottom w:val="single" w:sz="6" w:space="0" w:color="F6BD62"/>
              <w:right w:val="single" w:sz="6" w:space="0" w:color="F6BD62"/>
              <w:insideH w:val="single" w:sz="6" w:space="0" w:color="F6BD62"/>
              <w:insideV w:val="single" w:sz="6" w:space="0" w:color="F6BD62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Smallest next evidence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AAB8C8"/>
                <w:sz w:val="12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2D8"/>
            <w:tcBorders>
              <w:top w:val="single" w:sz="6" w:space="0" w:color="F6BD62"/>
              <w:left w:val="single" w:sz="6" w:space="0" w:color="F6BD62"/>
              <w:bottom w:val="single" w:sz="6" w:space="0" w:color="F6BD62"/>
              <w:right w:val="single" w:sz="6" w:space="0" w:color="F6BD62"/>
              <w:insideH w:val="single" w:sz="6" w:space="0" w:color="F6BD62"/>
              <w:insideV w:val="single" w:sz="6" w:space="0" w:color="F6BD62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Evidence owner / date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AAB8C8"/>
                <w:sz w:val="12"/>
              </w:rPr>
              <w:t>________________________________________</w:t>
            </w:r>
          </w:p>
        </w:tc>
      </w:tr>
    </w:tbl>
    <w:p>
      <w:r>
        <w:br w:type="page"/>
      </w:r>
    </w:p>
    <w:p>
      <w:pPr>
        <w:spacing w:before="0" w:after="40"/>
      </w:pPr>
      <w:r>
        <w:rPr>
          <w:rFonts w:ascii="Arial" w:hAnsi="Arial"/>
          <w:b/>
          <w:i w:val="0"/>
          <w:color w:val="087E8B"/>
          <w:sz w:val="18"/>
        </w:rPr>
        <w:t>WEB-013   LAB EVIDENCE WALKTHROUGH</w:t>
      </w:r>
    </w:p>
    <w:p>
      <w:pPr>
        <w:pStyle w:val="Heading1"/>
        <w:keepNext/>
        <w:spacing w:before="40" w:after="40"/>
      </w:pPr>
      <w:r>
        <w:rPr>
          <w:rFonts w:ascii="Arial" w:hAnsi="Arial"/>
          <w:b/>
          <w:i w:val="0"/>
          <w:color w:val="000000"/>
          <w:sz w:val="24"/>
        </w:rPr>
        <w:t>Run → observe → mutate → repair → transfer</w:t>
      </w:r>
    </w:p>
    <w:p>
      <w:pPr>
        <w:spacing w:before="0" w:after="50" w:line="240" w:lineRule="auto"/>
      </w:pPr>
      <w:r>
        <w:rPr>
          <w:rFonts w:ascii="Arial" w:hAnsi="Arial"/>
          <w:b w:val="0"/>
          <w:i w:val="0"/>
          <w:color w:val="152534"/>
          <w:sz w:val="15"/>
        </w:rPr>
        <w:t>Run the bounded fixture and retain observable results. Predict each deliberate mutation before executing it, then prove the repair and changed-context transfer.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00"/>
        <w:gridCol w:w="3096"/>
        <w:gridCol w:w="2736"/>
        <w:gridCol w:w="3096"/>
        <w:gridCol w:w="2232"/>
        <w:gridCol w:w="2088"/>
      </w:tblGrid>
      <w:tr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Case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Bounded concern or change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Provisional decision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Deciding evidence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Learner observation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Stable / unresolved boundary</w:t>
            </w:r>
          </w:p>
        </w:tc>
      </w:tr>
      <w:tr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CONTRACT FIRST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Write the trigger, open, initial-focus, action, close, and return paths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Every keyboard step has an observable state transition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A recorded focus path before implementation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</w:tr>
      <w:tr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NATIVE BUILDING BLOCKS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Use a button, dialog-like surface, and ordinary form controls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Baseline activation and focusability come from native behavior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DOM semantics plus keyboard observation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</w:tr>
      <w:tr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VISIBLE FOCUS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Provide a focus-visible treatment without removing the user-agent fallback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The active target stays perceivable through the full path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Named-browser observation at each focus transition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</w:tr>
      <w:tr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RESTORATION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Close with Escape, Cancel, or Apply and return to the invoker or fallback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Focus does not disappear into the document body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Focus-before and focus-after capture including removed-invoker transfer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</w:tr>
    </w:tbl>
    <w:p>
      <w:pPr>
        <w:pStyle w:val="Heading1"/>
        <w:keepNext/>
        <w:spacing w:before="40" w:after="40"/>
      </w:pPr>
      <w:r>
        <w:rPr>
          <w:rFonts w:ascii="Arial" w:hAnsi="Arial"/>
          <w:b/>
          <w:i w:val="0"/>
          <w:color w:val="000000"/>
          <w:sz w:val="24"/>
        </w:rPr>
        <w:t>Reasoning sequence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00"/>
        <w:gridCol w:w="4680"/>
        <w:gridCol w:w="4464"/>
        <w:gridCol w:w="4104"/>
      </w:tblGrid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Phase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Action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Required capture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Truth rule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Boundary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Run the structural check on the intentionally weak starter.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Scenario fact, evidence locator, or explicit UNKNOWN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No accessible-interaction claim is accepted from role or appearance alone; retain semantic, keyboard, focus, mutation, repair, transfer, and limitation evidence.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Boundary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Write the expected keyboard and focus path before repair.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Scenario fact, evidence locator, or explicit UNKNOWN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No accessible-interaction claim is accepted from role or appearance alone; retain semantic, keyboard, focus, mutation, repair, transfer, and limitation evidence.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Boundary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Observe entry, action, dismissal, and restoration in a named browser.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Scenario fact, evidence locator, or explicit UNKNOWN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No accessible-interaction claim is accepted from role or appearance alone; retain semantic, keyboard, focus, mutation, repair, transfer, and limitation evidence.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Stress test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Create a hide-focus mutation.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Prediction, changed assumption, stable boundary, next evidence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A plausible counterexample does not become an observed implementation fact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Stress test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Create a drop-restoration mutation.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Prediction, changed assumption, stable boundary, next evidence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A plausible counterexample does not become an observed implementation fact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Stress test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Create a pointer-only mutation and compare the failed contract dimension.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Prediction, changed assumption, stable boundary, next evidence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A plausible counterexample does not become an observed implementation fact</w:t>
            </w:r>
          </w:p>
        </w:tc>
      </w:tr>
    </w:tbl>
    <w:p>
      <w:pPr>
        <w:spacing w:before="0" w:after="0" w:line="240" w:lineRule="auto"/>
      </w:pPr>
      <w:r>
        <w:rPr>
          <w:rFonts w:ascii="Arial" w:hAnsi="Arial"/>
          <w:b/>
          <w:i w:val="0"/>
          <w:color w:val="000000"/>
          <w:sz w:val="14"/>
        </w:rPr>
        <w:t xml:space="preserve">Guardrail. </w:t>
      </w:r>
      <w:r>
        <w:rPr>
          <w:rFonts w:ascii="Arial" w:hAnsi="Arial"/>
          <w:b w:val="0"/>
          <w:i w:val="0"/>
          <w:color w:val="152534"/>
          <w:sz w:val="14"/>
        </w:rPr>
        <w:t>Semantics, focusability, keyboard behavior, selection, and visual focus are related contracts, not interchangeable labels.</w:t>
      </w:r>
    </w:p>
    <w:p>
      <w:r>
        <w:br w:type="page"/>
      </w:r>
    </w:p>
    <w:p>
      <w:pPr>
        <w:spacing w:before="0" w:after="40"/>
      </w:pPr>
      <w:r>
        <w:rPr>
          <w:rFonts w:ascii="Arial" w:hAnsi="Arial"/>
          <w:b/>
          <w:i w:val="0"/>
          <w:color w:val="087E8B"/>
          <w:sz w:val="18"/>
        </w:rPr>
        <w:t>WEB-013   TRANSFER AND REVIEW</w:t>
      </w:r>
    </w:p>
    <w:p>
      <w:pPr>
        <w:pStyle w:val="Heading1"/>
        <w:keepNext/>
        <w:spacing w:before="40" w:after="40"/>
      </w:pPr>
      <w:r>
        <w:rPr>
          <w:rFonts w:ascii="Arial" w:hAnsi="Arial"/>
          <w:b/>
          <w:i w:val="0"/>
          <w:color w:val="000000"/>
          <w:sz w:val="24"/>
        </w:rPr>
        <w:t>Changed-context transfer</w:t>
      </w:r>
    </w:p>
    <w:p>
      <w:pPr>
        <w:spacing w:before="0" w:after="50" w:line="240" w:lineRule="auto"/>
      </w:pPr>
      <w:r>
        <w:rPr>
          <w:rFonts w:ascii="Arial" w:hAnsi="Arial"/>
          <w:b w:val="0"/>
          <w:i w:val="0"/>
          <w:color w:val="152534"/>
          <w:sz w:val="15"/>
        </w:rPr>
        <w:t>Complete the changed-context filter primitive independently when the original invoker may be removed, then record the fallback restoration decision and evidence.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04"/>
        <w:gridCol w:w="6048"/>
        <w:gridCol w:w="3888"/>
        <w:gridCol w:w="2592"/>
      </w:tblGrid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Transfer item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Changed-context requirement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Learner evidence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Review check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Scenario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State the changed concern, resource, or responsibility boundary.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Worked scenario not copied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Observed facts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Record only facts supplied or directly observed.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Inference stays separate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Concern split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Create separate rows for independent responsibilities or paths.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No page-wide shortcut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Classification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Choose only ACCEPT / REPAIR / DEFER or preserve UNKNOWN.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Placement is justified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Failure probe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Apply one counterexample that tests an over-broad claim.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No invented mechanism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Non-claims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State at least two limits plus the smallest next evidence.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Residual and next evidence stated</w:t>
            </w:r>
          </w:p>
        </w:tc>
      </w:tr>
    </w:tbl>
    <w:p>
      <w:pPr>
        <w:pStyle w:val="Heading1"/>
        <w:keepNext/>
        <w:spacing w:before="40" w:after="40"/>
      </w:pPr>
      <w:r>
        <w:rPr>
          <w:rFonts w:ascii="Arial" w:hAnsi="Arial"/>
          <w:b/>
          <w:i w:val="0"/>
          <w:color w:val="000000"/>
          <w:sz w:val="24"/>
        </w:rPr>
        <w:t>Non-compensatory review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464"/>
        <w:gridCol w:w="2016"/>
        <w:gridCol w:w="3600"/>
        <w:gridCol w:w="4752"/>
      </w:tblGrid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Critical dimension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PASS / REPAIR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Evidence locator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Repair or rationale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Scenario and responsibility boundary correctness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Observation, inference, and source traceability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Decision rationale and next-evidence quality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Failure diagnosis and overclaim resistance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Transfer, residual uncertainty, and non-goals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</w:tr>
    </w:tbl>
    <w:p>
      <w:pPr>
        <w:pStyle w:val="Heading1"/>
        <w:keepNext/>
        <w:spacing w:before="40" w:after="40"/>
      </w:pPr>
      <w:r>
        <w:rPr>
          <w:rFonts w:ascii="Arial" w:hAnsi="Arial"/>
          <w:b/>
          <w:i w:val="0"/>
          <w:color w:val="000000"/>
          <w:sz w:val="24"/>
        </w:rPr>
        <w:t>Canonical QA gate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088"/>
        <w:gridCol w:w="5904"/>
        <w:gridCol w:w="2232"/>
        <w:gridCol w:w="4608"/>
      </w:tblGrid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E0F8EF"/>
            <w:tcBorders>
              <w:top w:val="single" w:sz="6" w:space="0" w:color="55D6A6"/>
              <w:left w:val="single" w:sz="6" w:space="0" w:color="55D6A6"/>
              <w:bottom w:val="single" w:sz="6" w:space="0" w:color="55D6A6"/>
              <w:right w:val="single" w:sz="6" w:space="0" w:color="55D6A6"/>
              <w:insideH w:val="single" w:sz="6" w:space="0" w:color="55D6A6"/>
              <w:insideV w:val="single" w:sz="6" w:space="0" w:color="55D6A6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3"/>
              </w:rPr>
              <w:t>Validation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E0F8EF"/>
            <w:tcBorders>
              <w:top w:val="single" w:sz="6" w:space="0" w:color="55D6A6"/>
              <w:left w:val="single" w:sz="6" w:space="0" w:color="55D6A6"/>
              <w:bottom w:val="single" w:sz="6" w:space="0" w:color="55D6A6"/>
              <w:right w:val="single" w:sz="6" w:space="0" w:color="55D6A6"/>
              <w:insideH w:val="single" w:sz="6" w:space="0" w:color="55D6A6"/>
              <w:insideV w:val="single" w:sz="6" w:space="0" w:color="55D6A6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ACCEPTED_IMPORTABLE; 0 blockers; 0 warnings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E0F8EF"/>
            <w:tcBorders>
              <w:top w:val="single" w:sz="6" w:space="0" w:color="55D6A6"/>
              <w:left w:val="single" w:sz="6" w:space="0" w:color="55D6A6"/>
              <w:bottom w:val="single" w:sz="6" w:space="0" w:color="55D6A6"/>
              <w:right w:val="single" w:sz="6" w:space="0" w:color="55D6A6"/>
              <w:insideH w:val="single" w:sz="6" w:space="0" w:color="55D6A6"/>
              <w:insideV w:val="single" w:sz="6" w:space="0" w:color="55D6A6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3"/>
              </w:rPr>
              <w:t>Disposition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E0F8EF"/>
            <w:tcBorders>
              <w:top w:val="single" w:sz="6" w:space="0" w:color="55D6A6"/>
              <w:left w:val="single" w:sz="6" w:space="0" w:color="55D6A6"/>
              <w:bottom w:val="single" w:sz="6" w:space="0" w:color="55D6A6"/>
              <w:right w:val="single" w:sz="6" w:space="0" w:color="55D6A6"/>
              <w:insideH w:val="single" w:sz="6" w:space="0" w:color="55D6A6"/>
              <w:insideV w:val="single" w:sz="6" w:space="0" w:color="55D6A6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QA_ACCEPTED_ELIGIBLE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E0F8EF"/>
            <w:tcBorders>
              <w:top w:val="single" w:sz="6" w:space="0" w:color="55D6A6"/>
              <w:left w:val="single" w:sz="6" w:space="0" w:color="55D6A6"/>
              <w:bottom w:val="single" w:sz="6" w:space="0" w:color="55D6A6"/>
              <w:right w:val="single" w:sz="6" w:space="0" w:color="55D6A6"/>
              <w:insideH w:val="single" w:sz="6" w:space="0" w:color="55D6A6"/>
              <w:insideV w:val="single" w:sz="6" w:space="0" w:color="55D6A6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3"/>
              </w:rPr>
              <w:t>Blocker / note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E0F8EF"/>
            <w:tcBorders>
              <w:top w:val="single" w:sz="6" w:space="0" w:color="55D6A6"/>
              <w:left w:val="single" w:sz="6" w:space="0" w:color="55D6A6"/>
              <w:bottom w:val="single" w:sz="6" w:space="0" w:color="55D6A6"/>
              <w:right w:val="single" w:sz="6" w:space="0" w:color="55D6A6"/>
              <w:insideH w:val="single" w:sz="6" w:space="0" w:color="55D6A6"/>
              <w:insideV w:val="single" w:sz="6" w:space="0" w:color="55D6A6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No canonical-source blocker recorded.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E0F8EF"/>
            <w:tcBorders>
              <w:top w:val="single" w:sz="6" w:space="0" w:color="55D6A6"/>
              <w:left w:val="single" w:sz="6" w:space="0" w:color="55D6A6"/>
              <w:bottom w:val="single" w:sz="6" w:space="0" w:color="55D6A6"/>
              <w:right w:val="single" w:sz="6" w:space="0" w:color="55D6A6"/>
              <w:insideH w:val="single" w:sz="6" w:space="0" w:color="55D6A6"/>
              <w:insideV w:val="single" w:sz="6" w:space="0" w:color="55D6A6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3"/>
              </w:rPr>
              <w:t>Clearance receipt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E0F8EF"/>
            <w:tcBorders>
              <w:top w:val="single" w:sz="6" w:space="0" w:color="55D6A6"/>
              <w:left w:val="single" w:sz="6" w:space="0" w:color="55D6A6"/>
              <w:bottom w:val="single" w:sz="6" w:space="0" w:color="55D6A6"/>
              <w:right w:val="single" w:sz="6" w:space="0" w:color="55D6A6"/>
              <w:insideH w:val="single" w:sz="6" w:space="0" w:color="55D6A6"/>
              <w:insideV w:val="single" w:sz="6" w:space="0" w:color="55D6A6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AAB8C8"/>
                <w:sz w:val="12"/>
              </w:rPr>
              <w:t>________________________________________</w:t>
            </w:r>
          </w:p>
        </w:tc>
      </w:tr>
    </w:tbl>
    <w:p>
      <w:pPr>
        <w:spacing w:before="0" w:after="0" w:line="240" w:lineRule="auto"/>
      </w:pPr>
      <w:r>
        <w:rPr>
          <w:rFonts w:ascii="Arial" w:hAnsi="Arial"/>
          <w:b/>
          <w:i w:val="0"/>
          <w:color w:val="000000"/>
          <w:sz w:val="14"/>
        </w:rPr>
        <w:t xml:space="preserve">Media decision. </w:t>
      </w:r>
      <w:r>
        <w:rPr>
          <w:rFonts w:ascii="Arial" w:hAnsi="Arial"/>
          <w:b w:val="0"/>
          <w:i w:val="0"/>
          <w:color w:val="152534"/>
          <w:sz w:val="14"/>
        </w:rPr>
        <w:t>Deck and video are NOT_APPLICABLE_WITH_RATIONALE; the embedded visuals, editable record, worksheet, and learner-authored reasoning are the assessed support.</w:t>
      </w:r>
    </w:p>
    <w:sectPr w:rsidR="00FC693F" w:rsidRPr="0006063C" w:rsidSect="00034616">
      <w:footerReference w:type="default" r:id="rId9"/>
      <w:pgSz w:w="15840" w:h="12240" w:orient="landscape"/>
      <w:pgMar w:top="490" w:right="619" w:bottom="619" w:left="61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b w:val="0"/>
        <w:i w:val="0"/>
        <w:color w:val="5B6D80"/>
        <w:sz w:val="15"/>
      </w:rPr>
      <w:t>MAKNOW WEB-013   Accessible Primitive Interaction Contract v1   English learner worksheet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152534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