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WEB-002   MAKNOW WEB ENGINEERING</w:t>
      </w:r>
    </w:p>
    <w:p>
      <w:pPr>
        <w:pStyle w:val="Title"/>
        <w:spacing w:before="0" w:after="20"/>
      </w:pPr>
      <w:r>
        <w:rPr>
          <w:rFonts w:ascii="Arial" w:hAnsi="Arial"/>
          <w:b/>
          <w:i w:val="0"/>
          <w:color w:val="000000"/>
          <w:sz w:val="44"/>
        </w:rPr>
        <w:t>Node ESM Resolution Trace v1</w:t>
      </w:r>
    </w:p>
    <w:p>
      <w:pPr>
        <w:spacing w:after="60"/>
      </w:pPr>
      <w:r>
        <w:rPr>
          <w:rFonts w:ascii="Arial" w:hAnsi="Arial"/>
          <w:b/>
          <w:i w:val="0"/>
          <w:color w:val="7A5100"/>
          <w:sz w:val="20"/>
        </w:rPr>
        <w:t>Node.js ESM and Module Resolution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Outcome. </w:t>
      </w:r>
      <w:r>
        <w:rPr>
          <w:rFonts w:ascii="Arial" w:hAnsi="Arial"/>
          <w:b w:val="0"/>
          <w:i w:val="0"/>
          <w:color w:val="152534"/>
          <w:sz w:val="16"/>
        </w:rPr>
        <w:t>Predict and verify how a pinned Node runtime classifies and resolves a bounded ESM import, then distinguish package-interface, specifier, and format failures from TypeScript or bundler behavior.</w:t>
      </w:r>
    </w:p>
    <w:p>
      <w:pPr>
        <w:spacing w:before="0" w:after="50" w:line="240" w:lineRule="auto"/>
      </w:pPr>
      <w:r>
        <w:rPr>
          <w:rFonts w:ascii="Arial" w:hAnsi="Arial"/>
          <w:b/>
          <w:i w:val="0"/>
          <w:color w:val="000000"/>
          <w:sz w:val="16"/>
        </w:rPr>
        <w:t xml:space="preserve">Evidence gate. </w:t>
      </w:r>
      <w:r>
        <w:rPr>
          <w:rFonts w:ascii="Arial" w:hAnsi="Arial"/>
          <w:b w:val="0"/>
          <w:i w:val="0"/>
          <w:color w:val="152534"/>
          <w:sz w:val="16"/>
        </w:rPr>
        <w:t>Accept only a trace that records the exact Node version, command, working directory, package scope, specifier class, interface rule, observed runtime result, detected mutation, bounded repair, transfer, and residual limit.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The Six-Step ESM Resolution Trace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867"/>
        <w:gridCol w:w="4867"/>
        <w:gridCol w:w="4867"/>
      </w:tblGrid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01  IMPORT SPECIFIER</w:t>
              <w:br/>
              <w:t>Authority: Provides the exact relative, absolute, bare, or imports-map request</w:t>
              <w:br/>
              <w:t>Boundary: Editor completion is not runtime evidence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4EEFF"/>
            <w:tcBorders>
              <w:top w:val="single" w:sz="6" w:space="0" w:color="6EA8FE"/>
              <w:left w:val="single" w:sz="6" w:space="0" w:color="6EA8FE"/>
              <w:bottom w:val="single" w:sz="6" w:space="0" w:color="6EA8FE"/>
              <w:right w:val="single" w:sz="6" w:space="0" w:color="6EA8FE"/>
              <w:insideH w:val="single" w:sz="6" w:space="0" w:color="6EA8FE"/>
              <w:insideV w:val="single" w:sz="6" w:space="0" w:color="6EA8FE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02  PACKAGE SCOPE</w:t>
              <w:br/>
              <w:t>Authority: Supplies the nearest package.json and module-format marker</w:t>
              <w:br/>
              <w:t>Boundary: The same extension can be classified differently across scopes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EEAFE"/>
            <w:tcBorders>
              <w:top w:val="single" w:sz="6" w:space="0" w:color="A594FF"/>
              <w:left w:val="single" w:sz="6" w:space="0" w:color="A594FF"/>
              <w:bottom w:val="single" w:sz="6" w:space="0" w:color="A594FF"/>
              <w:right w:val="single" w:sz="6" w:space="0" w:color="A594FF"/>
              <w:insideH w:val="single" w:sz="6" w:space="0" w:color="A594FF"/>
              <w:insideV w:val="single" w:sz="6" w:space="0" w:color="A594F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03  SPECIFIER CLASS</w:t>
              <w:br/>
              <w:t>Authority: Selects relative URL rules or package lookup rules</w:t>
              <w:br/>
              <w:t>Boundary: Extension repair applies to relative ESM targets, not every import</w:t>
            </w:r>
          </w:p>
        </w:tc>
      </w:tr>
      <w:tr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04  PACKAGE INTERFACE</w:t>
              <w:br/>
              <w:t>Authority: Applies exports or imports mappings to permitted public subpaths</w:t>
              <w:br/>
              <w:t>Boundary: Physical file presence does not guarantee an exposed subpath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05  RESOLVED URL AND FORMAT</w:t>
              <w:br/>
              <w:t>Authority: Identifies the concrete target and its runtime interpretation</w:t>
              <w:br/>
              <w:t>Boundary: Bundler rewrites may differ from direct Node behavior</w:t>
            </w:r>
          </w:p>
        </w:tc>
        <w:tc>
          <w:tcPr>
            <w:tcW w:type="dxa" w:w="4925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E8E8"/>
            <w:tcBorders>
              <w:top w:val="single" w:sz="6" w:space="0" w:color="FF7F7F"/>
              <w:left w:val="single" w:sz="6" w:space="0" w:color="FF7F7F"/>
              <w:bottom w:val="single" w:sz="6" w:space="0" w:color="FF7F7F"/>
              <w:right w:val="single" w:sz="6" w:space="0" w:color="FF7F7F"/>
              <w:insideH w:val="single" w:sz="6" w:space="0" w:color="FF7F7F"/>
              <w:insideV w:val="single" w:sz="6" w:space="0" w:color="FF7F7F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06  LOAD RESULT</w:t>
              <w:br/>
              <w:t>Authority: Records success or the classified runtime failure</w:t>
              <w:br/>
              <w:t>Boundary: Use the pinned Node version and exact working directory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Identity, decision, and claim boundary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232"/>
        <w:gridCol w:w="4752"/>
        <w:gridCol w:w="2232"/>
        <w:gridCol w:w="5616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Learner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Case / attempt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Capture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Scenario / concern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DDF8FC"/>
            <w:tcBorders>
              <w:top w:val="single" w:sz="6" w:space="0" w:color="55D6E8"/>
              <w:left w:val="single" w:sz="6" w:space="0" w:color="55D6E8"/>
              <w:bottom w:val="single" w:sz="6" w:space="0" w:color="55D6E8"/>
              <w:right w:val="single" w:sz="6" w:space="0" w:color="55D6E8"/>
              <w:insideH w:val="single" w:sz="6" w:space="0" w:color="55D6E8"/>
              <w:insideV w:val="single" w:sz="6" w:space="0" w:color="55D6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REPAIR / DEFER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Claim boundary. </w:t>
      </w:r>
      <w:r>
        <w:rPr>
          <w:rFonts w:ascii="Arial" w:hAnsi="Arial"/>
          <w:b w:val="0"/>
          <w:i w:val="0"/>
          <w:color w:val="152534"/>
          <w:sz w:val="14"/>
        </w:rPr>
        <w:t>This is a bounded executable lab. Retain implementation, applicable runtime, browser, DOM, or tool observations, mutation, repair, transfer, and residual-limit evidence; one passing checker is not whole-system proof. No ESM resolution claim is accepted from an editor or bundler alone; retain pinned-runtime, scope, specifier, interface, mutation, repair, transfer, and limitation evidence.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WEB-002   FIELD GUIDE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Required record fields and evidence tests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A field is complete only when its value is bounded, traceable, and classified. Use UNKNOWN when the required observation is unavailable or contradictory.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880"/>
        <w:gridCol w:w="3960"/>
        <w:gridCol w:w="4536"/>
        <w:gridCol w:w="338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Question to close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Minimum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Invalid promotion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dimension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input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input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prediction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prediction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observation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diagnosis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diagnosis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bounded_repair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bounded repair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post_repair_observation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post repair observation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residual_limit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What does residual limit mean in this case?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 scenario fact, source, or observable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can be relabeled as observation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Evidence and failure states</w:t>
      </w:r>
    </w:p>
    <w:p>
      <w:pPr>
        <w:spacing w:before="0" w:after="0" w:line="240" w:lineRule="auto"/>
      </w:pPr>
      <w:r>
        <w:rPr>
          <w:rFonts w:ascii="Arial" w:hAnsi="Arial"/>
          <w:b w:val="0"/>
          <w:i w:val="0"/>
          <w:color w:val="152534"/>
          <w:sz w:val="14"/>
        </w:rPr>
        <w:t>Evidence: OBSERVED / INFERRED / UNKNOWN. Decisions: ACCEPT / REPAIR / DEFER. Failure layers: RUNTIME_VERSION / PACKAGE_SCOPE / MODULE_FORMAT / SPECIFIER_CLASS / PACKAGE_INTERFACE / LOAD.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WEB-002   GOVERNED EXAMPLE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Node ESM Resolution Trace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English support projection from derived_text/tables/WEB-002-TAB1.example.en-US.json. This example demonstrates field relationships; it does not supply the learner's transfer or final decision evidence.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736"/>
        <w:gridCol w:w="4248"/>
        <w:gridCol w:w="4248"/>
        <w:gridCol w:w="352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row 1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Governed row 2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Comparison question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module_format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specifier_class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input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app/main.js inside package with type=module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./local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Node interprets the .js entry as ESM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relative specifier requires an explicit target extension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record after run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record after run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diagnosis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pending 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pending 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bounded_repair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only if the format marker is wrong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repair only the relative target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post_repair_observation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record after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record after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residual_limit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does not prove other package scopes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does not prove bare package behavior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Which boundary changed, and which evidence remains stable?</w:t>
            </w:r>
          </w:p>
        </w:tc>
      </w:tr>
    </w:tbl>
    <w:tbl>
      <w:tblPr>
        <w:tblW w:type="auto" w:w="0"/>
        <w:tblLook w:firstColumn="1" w:firstRow="1" w:lastColumn="0" w:lastRow="0" w:noHBand="0" w:noVBand="1" w:val="04A0"/>
      </w:tblPr>
      <w:tblGrid>
        <w:gridCol w:w="3024"/>
        <w:gridCol w:w="11808"/>
      </w:tblGrid>
      <w:tr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Source-package validation</w:t>
            </w:r>
          </w:p>
        </w:tc>
        <w:tc>
          <w:tcPr>
            <w:tcW w:type="dxa" w:w="7301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ACCEPTED_IMPORTABLE; 0 blockers; 0 warnings · QA_ACCEPTED_ELIGIBLE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WEB-002   BLANK RECORD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Complete Node ESM Resolution Trace v1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Enter one bounded value per required field. Every material entry needs an evidence locator and a state. Use additional workbook rows when the artifact needs multiple concerns, responsibilities, resources, or path steps.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096"/>
        <w:gridCol w:w="4896"/>
        <w:gridCol w:w="3816"/>
        <w:gridCol w:w="302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field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value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State / review note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input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prediction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diagnosis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bounded_repair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post_repair_observation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residual_limit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/ INFERRED / UNKNOWN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Human closure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3650"/>
        <w:gridCol w:w="3650"/>
        <w:gridCol w:w="3650"/>
        <w:gridCol w:w="3650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Decision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  <w:t>ACCEPT / REPAIR / DEFER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Reviewer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Residual uncertainty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Consequence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Smallest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2D8"/>
            <w:tcBorders>
              <w:top w:val="single" w:sz="6" w:space="0" w:color="F6BD62"/>
              <w:left w:val="single" w:sz="6" w:space="0" w:color="F6BD62"/>
              <w:bottom w:val="single" w:sz="6" w:space="0" w:color="F6BD62"/>
              <w:right w:val="single" w:sz="6" w:space="0" w:color="F6BD62"/>
              <w:insideH w:val="single" w:sz="6" w:space="0" w:color="F6BD62"/>
              <w:insideV w:val="single" w:sz="6" w:space="0" w:color="F6BD62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4"/>
              </w:rPr>
              <w:t>Evidence owner / date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FFFFFF"/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4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WEB-002   LAB EVIDENCE WALKTHROUGH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Run → observe → mutate → repair →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Run the bounded fixture and retain observable results. Predict each deliberate mutation before executing it, then prove the repair and changed-context transfer.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3096"/>
        <w:gridCol w:w="2736"/>
        <w:gridCol w:w="3096"/>
        <w:gridCol w:w="2232"/>
        <w:gridCol w:w="2088"/>
      </w:tblGrid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Case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Bounded concern or change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Provisional decision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Deciding evidence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observation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Stable / unresolved boundary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FORMAT MARKER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Run main.js inside a package marked type=module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Node classifies the .js entry as ESM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Nearest package.json plus pinned-runtime output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RELATIVE TARGET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Compare ./local with ./local.js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extensionless relative ESM target fails before load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Exact specifier and runtime error classification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PUBLIC SUBPATH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Compare demo-pkg/public.js with the package exports map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 non-exported subpath fails despite the file being present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Dependency package.json plus runtime failure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 PACKAGE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Resolve a helper file and utility package with a different public interface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The method transfers while literal specifiers and exports differ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Independent transfer trace and successful final output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2434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Reasoning sequence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1800"/>
        <w:gridCol w:w="4680"/>
        <w:gridCol w:w="4464"/>
        <w:gridCol w:w="4104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Phase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Action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Required capture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Truth rule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Verify the required Node version before collecting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ESM resolution claim is accepted from an editor or bundler alone; retain pinned-runtime, scope, specifier, interface, mutation, repair, transfer, and limitation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Inspect package scope, exact specifiers, and the dependency exports map.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ESM resolution claim is accepted from an editor or bundler alone; retain pinned-runtime, scope, specifier, interface, mutation, repair, transfer, and limitation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Boundary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 the first failure before direct Node execution.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Scenario fact, evidence locator, or explicit UNKNOWN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No ESM resolution claim is accepted from an editor or bundler alone; retain pinned-runtime, scope, specifier, interface, mutation, repair, transfer, and limitation evidence.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Remove a required relative extension.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Close an exported package subpath.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Stress test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Change the package module marker and classify the resulting failure.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Prediction, changed assumption, stable boundary, next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2"/>
              </w:rPr>
              <w:t>A plausible counterexample does not become an observed implementation fact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Guardrail. </w:t>
      </w:r>
      <w:r>
        <w:rPr>
          <w:rFonts w:ascii="Arial" w:hAnsi="Arial"/>
          <w:b w:val="0"/>
          <w:i w:val="0"/>
          <w:color w:val="152534"/>
          <w:sz w:val="14"/>
        </w:rPr>
        <w:t>Module format, specifier syntax, package interface, and runtime resolution are separate failure boundaries.</w:t>
      </w:r>
    </w:p>
    <w:p>
      <w:r>
        <w:br w:type="page"/>
      </w:r>
    </w:p>
    <w:p>
      <w:pPr>
        <w:spacing w:before="0" w:after="40"/>
      </w:pPr>
      <w:r>
        <w:rPr>
          <w:rFonts w:ascii="Arial" w:hAnsi="Arial"/>
          <w:b/>
          <w:i w:val="0"/>
          <w:color w:val="087E8B"/>
          <w:sz w:val="18"/>
        </w:rPr>
        <w:t>WEB-002   TRANSFER AND REVIEW</w:t>
      </w:r>
    </w:p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Changed-context transfer</w:t>
      </w:r>
    </w:p>
    <w:p>
      <w:pPr>
        <w:spacing w:before="0" w:after="50" w:line="240" w:lineRule="auto"/>
      </w:pPr>
      <w:r>
        <w:rPr>
          <w:rFonts w:ascii="Arial" w:hAnsi="Arial"/>
          <w:b w:val="0"/>
          <w:i w:val="0"/>
          <w:color w:val="152534"/>
          <w:sz w:val="15"/>
        </w:rPr>
        <w:t>Repair the independent utility-package fixture, record its different package scope and interface, and retain the final direct-Node resolution trace.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304"/>
        <w:gridCol w:w="6048"/>
        <w:gridCol w:w="3888"/>
        <w:gridCol w:w="259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Transfer item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Changed-context requirement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Learner evidence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Review check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the changed concern, resource, or responsibility boundary.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Worked scenario not copied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Observed facts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Record only facts supplied or directly observed.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Inference stays separate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Concern split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Create separate rows for independent responsibilities or paths.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page-wide shortcut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Classification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Choose only ACCEPT / REPAIR / DEFER or preserve UNKNOWN.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Placement is justified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probe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Apply one counterexample that tests an over-broad claim.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invented mechanism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Non-claims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State at least two limits plus the smallest next evidence.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Residual and next evidence stated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Non-compensatory review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4464"/>
        <w:gridCol w:w="2016"/>
        <w:gridCol w:w="3600"/>
        <w:gridCol w:w="4752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Critical dimension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PASS / REPAIR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Evidence locator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18364A"/>
          </w:tcPr>
          <w:p>
            <w:pPr>
              <w:spacing w:before="0" w:after="0" w:line="240" w:lineRule="auto"/>
              <w:jc w:val="center"/>
            </w:pPr>
            <w:r>
              <w:rPr>
                <w:rFonts w:ascii="Arial" w:hAnsi="Arial"/>
                <w:b/>
                <w:i w:val="0"/>
                <w:color w:val="FFFFFF"/>
                <w:sz w:val="14"/>
              </w:rPr>
            </w:r>
            <w:r>
              <w:rPr>
                <w:rFonts w:ascii="Arial" w:hAnsi="Arial"/>
                <w:b/>
                <w:i w:val="0"/>
                <w:color w:val="FFFFFF"/>
                <w:sz w:val="14"/>
              </w:rPr>
              <w:t>Repair or rationale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Scenario and responsibility boundary correctness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Observation, inference, and source traceability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Decision rationale and next-evidence quality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Failure diagnosis and overclaim resistance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4F7FA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Transfer, residual uncertainty, and non-goals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tcBorders>
              <w:top w:val="single" w:sz="6" w:space="0" w:color="D5E0E8"/>
              <w:left w:val="single" w:sz="6" w:space="0" w:color="D5E0E8"/>
              <w:bottom w:val="single" w:sz="6" w:space="0" w:color="D5E0E8"/>
              <w:right w:val="single" w:sz="6" w:space="0" w:color="D5E0E8"/>
              <w:insideH w:val="single" w:sz="6" w:space="0" w:color="D5E0E8"/>
              <w:insideV w:val="single" w:sz="6" w:space="0" w:color="D5E0E8"/>
            </w:tcBorders>
            <w:shd w:fill="FFFFFF"/>
          </w:tcPr>
          <w:p>
            <w:pPr>
              <w:spacing w:before="0" w:after="0" w:line="240" w:lineRule="auto"/>
            </w:pP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________________________________________</w:t>
            </w:r>
          </w:p>
        </w:tc>
      </w:tr>
    </w:tbl>
    <w:p>
      <w:pPr>
        <w:pStyle w:val="Heading1"/>
        <w:keepNext/>
        <w:spacing w:before="40" w:after="40"/>
      </w:pPr>
      <w:r>
        <w:rPr>
          <w:rFonts w:ascii="Arial" w:hAnsi="Arial"/>
          <w:b/>
          <w:i w:val="0"/>
          <w:color w:val="000000"/>
          <w:sz w:val="24"/>
        </w:rPr>
        <w:t>Canonical QA gate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2088"/>
        <w:gridCol w:w="5904"/>
        <w:gridCol w:w="2232"/>
        <w:gridCol w:w="4608"/>
      </w:tblGrid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Validation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ACCEPTED_IMPORTABLE; 0 blockers; 0 warnings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Disposition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QA_ACCEPTED_ELIGIBLE</w:t>
            </w:r>
          </w:p>
        </w:tc>
      </w:tr>
      <w:tr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Blocker / note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  <w:t>No canonical-source blocker recorded.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/>
                <w:i w:val="0"/>
                <w:color w:val="152534"/>
                <w:sz w:val="13"/>
              </w:rPr>
              <w:t>Clearance receipt</w:t>
            </w:r>
          </w:p>
        </w:tc>
        <w:tc>
          <w:tcPr>
            <w:tcW w:type="dxa" w:w="3650"/>
            <w:vAlign w:val="center"/>
            <w:tcMar>
              <w:top w:w="45" w:type="dxa"/>
              <w:start w:w="62" w:type="dxa"/>
              <w:bottom w:w="45" w:type="dxa"/>
              <w:end w:w="62" w:type="dxa"/>
            </w:tcMar>
            <w:shd w:fill="E0F8EF"/>
            <w:tcBorders>
              <w:top w:val="single" w:sz="6" w:space="0" w:color="55D6A6"/>
              <w:left w:val="single" w:sz="6" w:space="0" w:color="55D6A6"/>
              <w:bottom w:val="single" w:sz="6" w:space="0" w:color="55D6A6"/>
              <w:right w:val="single" w:sz="6" w:space="0" w:color="55D6A6"/>
              <w:insideH w:val="single" w:sz="6" w:space="0" w:color="55D6A6"/>
              <w:insideV w:val="single" w:sz="6" w:space="0" w:color="55D6A6"/>
            </w:tcBorders>
          </w:tcPr>
          <w:p>
            <w:pPr>
              <w:spacing w:before="0" w:after="0" w:line="240" w:lineRule="auto"/>
            </w:pPr>
            <w:r/>
            <w:r>
              <w:rPr>
                <w:rFonts w:ascii="Arial" w:hAnsi="Arial"/>
                <w:b w:val="0"/>
                <w:i w:val="0"/>
                <w:color w:val="152534"/>
                <w:sz w:val="13"/>
              </w:rPr>
            </w:r>
            <w:r>
              <w:rPr>
                <w:rFonts w:ascii="Arial" w:hAnsi="Arial"/>
                <w:b w:val="0"/>
                <w:i w:val="0"/>
                <w:color w:val="AAB8C8"/>
                <w:sz w:val="12"/>
              </w:rPr>
              <w:t>________________________________________</w:t>
            </w:r>
          </w:p>
        </w:tc>
      </w:tr>
    </w:tbl>
    <w:p>
      <w:pPr>
        <w:spacing w:before="0" w:after="0" w:line="240" w:lineRule="auto"/>
      </w:pPr>
      <w:r>
        <w:rPr>
          <w:rFonts w:ascii="Arial" w:hAnsi="Arial"/>
          <w:b/>
          <w:i w:val="0"/>
          <w:color w:val="000000"/>
          <w:sz w:val="14"/>
        </w:rPr>
        <w:t xml:space="preserve">Media decision. </w:t>
      </w:r>
      <w:r>
        <w:rPr>
          <w:rFonts w:ascii="Arial" w:hAnsi="Arial"/>
          <w:b w:val="0"/>
          <w:i w:val="0"/>
          <w:color w:val="152534"/>
          <w:sz w:val="14"/>
        </w:rPr>
        <w:t>Deck and video are NOT_APPLICABLE_WITH_RATIONALE; the embedded visuals, editable record, worksheet, and learner-authored reasoning are the assessed support.</w:t>
      </w:r>
    </w:p>
    <w:sectPr w:rsidR="00FC693F" w:rsidRPr="0006063C" w:rsidSect="00034616">
      <w:footerReference w:type="default" r:id="rId9"/>
      <w:pgSz w:w="15840" w:h="12240" w:orient="landscape"/>
      <w:pgMar w:top="490" w:right="619" w:bottom="619" w:left="6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/>
        <w:b w:val="0"/>
        <w:i w:val="0"/>
        <w:color w:val="5B6D80"/>
        <w:sz w:val="15"/>
      </w:rPr>
      <w:t>MAKNOW WEB-002   Node ESM Resolution Trace v1   English learner worksheet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152534"/>
      <w:sz w:val="1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