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10263A"/>
          <w:sz w:val="40"/>
        </w:rPr>
        <w:t>OPS-014  |  Module Ownership Boundary Contract v1</w:t>
      </w:r>
    </w:p>
    <w:p>
      <w:pPr>
        <w:spacing w:after="140"/>
      </w:pPr>
      <w:r>
        <w:rPr>
          <w:rFonts w:ascii="Arial" w:hAnsi="Arial"/>
          <w:color w:val="476074"/>
          <w:sz w:val="18"/>
        </w:rPr>
        <w:t>Module Data Ownership and Cross-module Boundaries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4458"/>
      </w:tblGrid>
      <w:tr>
        <w:tc>
          <w:tcPr>
            <w:tcW w:type="dxa" w:w="14458"/>
            <w:shd w:fill="DDF7EC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Bounded outcome: </w:t>
            </w:r>
            <w:r>
              <w:rPr>
                <w:sz w:val="16"/>
              </w:rPr>
              <w:t>Define authoritative module data and invariant ownership, reject unowned writes, choose explicit cross-boundary read/command/event paths, and preserve context-specific meaning when identities are shared.</w:t>
            </w:r>
          </w:p>
        </w:tc>
      </w:tr>
    </w:tbl>
    <w:p>
      <w:r>
        <w:rPr>
          <w:b/>
        </w:rPr>
        <w:t>Evidence path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4819"/>
        <w:gridCol w:w="4819"/>
        <w:gridCol w:w="4819"/>
      </w:tblGrid>
      <w:tr>
        <w:tc>
          <w:tcPr>
            <w:tcW w:type="dxa" w:w="4819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Boundary</w:t>
            </w:r>
          </w:p>
        </w:tc>
        <w:tc>
          <w:tcPr>
            <w:tcW w:type="dxa" w:w="4819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Inspectable claim</w:t>
            </w:r>
          </w:p>
        </w:tc>
        <w:tc>
          <w:tcPr>
            <w:tcW w:type="dxa" w:w="4819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Explicit non-claim</w:t>
            </w:r>
          </w:p>
        </w:tc>
      </w:tr>
      <w:tr>
        <w:tc>
          <w:tcPr>
            <w:tcW w:type="dxa" w:w="4819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aggregate owner</w:t>
            </w:r>
          </w:p>
        </w:tc>
        <w:tc>
          <w:tcPr>
            <w:tcW w:type="dxa" w:w="4819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Treat aggregate owner as a separate evidence boundary and close it only with inspectable observations from the bounded fixture.</w:t>
            </w:r>
          </w:p>
        </w:tc>
        <w:tc>
          <w:tcPr>
            <w:tcW w:type="dxa" w:w="4819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A bounded context or module does not have to be a separately deployed microservice.</w:t>
            </w:r>
          </w:p>
        </w:tc>
      </w:tr>
      <w:tr>
        <w:tc>
          <w:tcPr>
            <w:tcW w:type="dxa" w:w="4819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owner write api</w:t>
            </w:r>
          </w:p>
        </w:tc>
        <w:tc>
          <w:tcPr>
            <w:tcW w:type="dxa" w:w="4819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Treat owner write api as a separate evidence boundary and close it only with inspectable observations from the bounded fixture.</w:t>
            </w:r>
          </w:p>
        </w:tc>
        <w:tc>
          <w:tcPr>
            <w:tcW w:type="dxa" w:w="4819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Owning domain data does not require a physically separate database for every module.</w:t>
            </w:r>
          </w:p>
        </w:tc>
      </w:tr>
      <w:tr>
        <w:tc>
          <w:tcPr>
            <w:tcW w:type="dxa" w:w="4819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anti corruption layer</w:t>
            </w:r>
          </w:p>
        </w:tc>
        <w:tc>
          <w:tcPr>
            <w:tcW w:type="dxa" w:w="4819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Treat anti corruption layer as a separate evidence boundary and close it only with inspectable observations from the bounded fixture.</w:t>
            </w:r>
          </w:p>
        </w:tc>
        <w:tc>
          <w:tcPr>
            <w:tcW w:type="dxa" w:w="4819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Sharing an identifier does not imply one shared domain entity or shared attributes.</w:t>
            </w:r>
          </w:p>
        </w:tc>
      </w:tr>
      <w:tr>
        <w:tc>
          <w:tcPr>
            <w:tcW w:type="dxa" w:w="4819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published language</w:t>
            </w:r>
          </w:p>
        </w:tc>
        <w:tc>
          <w:tcPr>
            <w:tcW w:type="dxa" w:w="4819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Treat published language as a separate evidence boundary and close it only with inspectable observations from the bounded fixture.</w:t>
            </w:r>
          </w:p>
        </w:tc>
        <w:tc>
          <w:tcPr>
            <w:tcW w:type="dxa" w:w="4819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Events are not mandatory for every cross-module interaction.</w:t>
            </w:r>
          </w:p>
        </w:tc>
      </w:tr>
      <w:tr>
        <w:tc>
          <w:tcPr>
            <w:tcW w:type="dxa" w:w="4819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consumer projection</w:t>
            </w:r>
          </w:p>
        </w:tc>
        <w:tc>
          <w:tcPr>
            <w:tcW w:type="dxa" w:w="4819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Treat consumer projection as a separate evidence boundary and close it only with inspectable observations from the bounded fixture.</w:t>
            </w:r>
          </w:p>
        </w:tc>
        <w:tc>
          <w:tcPr>
            <w:tcW w:type="dxa" w:w="4819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Physical database separation alone is not proof of correct ownership.</w:t>
            </w:r>
          </w:p>
        </w:tc>
      </w:tr>
      <w:tr>
        <w:tc>
          <w:tcPr>
            <w:tcW w:type="dxa" w:w="4819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EVIDENCE BOUNDARY</w:t>
            </w:r>
          </w:p>
        </w:tc>
        <w:tc>
          <w:tcPr>
            <w:tcW w:type="dxa" w:w="4819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Separate source facts, local observations, bounded inferences, and human decisions.</w:t>
            </w:r>
          </w:p>
        </w:tc>
        <w:tc>
          <w:tcPr>
            <w:tcW w:type="dxa" w:w="4819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Unavailable production behavior remains NOT_OBSERVED or NEEDS_VERIFICATION.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4458"/>
      </w:tblGrid>
      <w:tr>
        <w:tc>
          <w:tcPr>
            <w:tcW w:type="dxa" w:w="14458"/>
            <w:shd w:fill="FFF0CC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Acceptance gate: </w:t>
            </w:r>
            <w:r>
              <w:rPr>
                <w:sz w:val="16"/>
              </w:rPr>
              <w:t>Accept only when every critical dimension has inspectable evidence, the negative probe behaves as predicted, and changed-context transfer preserves a residual limitation.</w:t>
            </w:r>
          </w:p>
        </w:tc>
      </w:tr>
    </w:tbl>
    <w:p>
      <w:r>
        <w:br w:type="page"/>
      </w:r>
    </w:p>
    <w:p>
      <w:pPr>
        <w:spacing w:after="40"/>
      </w:pPr>
      <w:r>
        <w:rPr>
          <w:rFonts w:ascii="Arial" w:hAnsi="Arial"/>
          <w:b/>
          <w:color w:val="10263A"/>
          <w:sz w:val="40"/>
        </w:rPr>
        <w:t>OPS-014  |  Blank Evidence Record</w:t>
      </w:r>
    </w:p>
    <w:p>
      <w:pPr>
        <w:spacing w:after="140"/>
      </w:pPr>
      <w:r>
        <w:rPr>
          <w:rFonts w:ascii="Arial" w:hAnsi="Arial"/>
          <w:color w:val="476074"/>
          <w:sz w:val="18"/>
        </w:rPr>
        <w:t>Complete every field from retained observations; mark unavailable evidence OPEN.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3614"/>
        <w:gridCol w:w="3614"/>
        <w:gridCol w:w="3614"/>
        <w:gridCol w:w="3614"/>
      </w:tblGrid>
      <w:tr>
        <w:tc>
          <w:tcPr>
            <w:tcW w:type="dxa" w:w="3614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Canonical field</w:t>
            </w:r>
          </w:p>
        </w:tc>
        <w:tc>
          <w:tcPr>
            <w:tcW w:type="dxa" w:w="3614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Observed evidence / value</w:t>
            </w:r>
          </w:p>
        </w:tc>
        <w:tc>
          <w:tcPr>
            <w:tcW w:type="dxa" w:w="3614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Evidence type</w:t>
            </w:r>
          </w:p>
        </w:tc>
        <w:tc>
          <w:tcPr>
            <w:tcW w:type="dxa" w:w="3614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State</w:t>
            </w:r>
          </w:p>
        </w:tc>
      </w:tr>
      <w:tr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Module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OBSERVED / INFERRED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OPEN</w:t>
            </w:r>
          </w:p>
        </w:tc>
      </w:tr>
      <w:tr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Owned Data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OBSERVED / INFERRED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OPEN</w:t>
            </w:r>
          </w:p>
        </w:tc>
      </w:tr>
      <w:tr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Owned Invariant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OBSERVED / INFERRED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OPEN</w:t>
            </w:r>
          </w:p>
        </w:tc>
      </w:tr>
      <w:tr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Shared Identity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OBSERVED / INFERRED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OPEN</w:t>
            </w:r>
          </w:p>
        </w:tc>
      </w:tr>
      <w:tr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Allowed Read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OBSERVED / INFERRED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OPEN</w:t>
            </w:r>
          </w:p>
        </w:tc>
      </w:tr>
      <w:tr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Allowed Command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OBSERVED / INFERRED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OPEN</w:t>
            </w:r>
          </w:p>
        </w:tc>
      </w:tr>
      <w:tr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Event Contract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OBSERVED / INFERRED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OPEN</w:t>
            </w:r>
          </w:p>
        </w:tc>
      </w:tr>
      <w:tr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Forbidden Direct Write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OBSERVED / INFERRED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OPEN</w:t>
            </w:r>
          </w:p>
        </w:tc>
      </w:tr>
      <w:tr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Translation Rule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OBSERVED / INFERRED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OPEN</w:t>
            </w:r>
          </w:p>
        </w:tc>
      </w:tr>
      <w:tr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Evidence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OBSERVED / INFERRED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OPEN</w:t>
            </w:r>
          </w:p>
        </w:tc>
      </w:tr>
      <w:tr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Open Boundary Risk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OBSERVED / INFERRED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OPEN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4458"/>
      </w:tblGrid>
      <w:tr>
        <w:tc>
          <w:tcPr>
            <w:tcW w:type="dxa" w:w="14458"/>
            <w:shd w:fill="DDF7EC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Source projection: </w:t>
            </w:r>
            <w:r>
              <w:rPr>
                <w:sz w:val="16"/>
              </w:rPr>
              <w:t>derived_text/tables/module_ownership_boundary_contract.md</w:t>
            </w:r>
          </w:p>
        </w:tc>
      </w:tr>
    </w:tbl>
    <w:p>
      <w:r>
        <w:br w:type="page"/>
      </w:r>
    </w:p>
    <w:p>
      <w:pPr>
        <w:spacing w:after="40"/>
      </w:pPr>
      <w:r>
        <w:rPr>
          <w:rFonts w:ascii="Arial" w:hAnsi="Arial"/>
          <w:b/>
          <w:color w:val="10263A"/>
          <w:sz w:val="40"/>
        </w:rPr>
        <w:t>OPS-014  |  Evidence Index</w:t>
      </w:r>
    </w:p>
    <w:p>
      <w:pPr>
        <w:spacing w:after="140"/>
      </w:pPr>
      <w:r>
        <w:rPr>
          <w:rFonts w:ascii="Arial" w:hAnsi="Arial"/>
          <w:color w:val="476074"/>
          <w:sz w:val="18"/>
        </w:rPr>
        <w:t>Link every decision to a source, command, output, or explicitly bounded inference.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10"/>
        <w:gridCol w:w="2410"/>
        <w:gridCol w:w="2410"/>
        <w:gridCol w:w="2410"/>
        <w:gridCol w:w="2410"/>
        <w:gridCol w:w="2410"/>
      </w:tblGrid>
      <w:tr>
        <w:tc>
          <w:tcPr>
            <w:tcW w:type="dxa" w:w="2410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ID</w:t>
            </w:r>
          </w:p>
        </w:tc>
        <w:tc>
          <w:tcPr>
            <w:tcW w:type="dxa" w:w="2410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Evidence type</w:t>
            </w:r>
          </w:p>
        </w:tc>
        <w:tc>
          <w:tcPr>
            <w:tcW w:type="dxa" w:w="2410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Source / command</w:t>
            </w:r>
          </w:p>
        </w:tc>
        <w:tc>
          <w:tcPr>
            <w:tcW w:type="dxa" w:w="2410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Observation</w:t>
            </w:r>
          </w:p>
        </w:tc>
        <w:tc>
          <w:tcPr>
            <w:tcW w:type="dxa" w:w="2410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Supports / falsifies</w:t>
            </w:r>
          </w:p>
        </w:tc>
        <w:tc>
          <w:tcPr>
            <w:tcW w:type="dxa" w:w="2410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State</w:t>
            </w:r>
          </w:p>
        </w:tc>
      </w:tr>
      <w:tr>
        <w:tc>
          <w:tcPr>
            <w:tcW w:type="dxa" w:w="2410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E-01</w:t>
            </w:r>
          </w:p>
        </w:tc>
        <w:tc>
          <w:tcPr>
            <w:tcW w:type="dxa" w:w="2410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BASELINE</w:t>
            </w:r>
          </w:p>
        </w:tc>
        <w:tc>
          <w:tcPr>
            <w:tcW w:type="dxa" w:w="2410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derived_text/tables/module_ownership_boundary_contract.md</w:t>
            </w:r>
          </w:p>
        </w:tc>
        <w:tc>
          <w:tcPr>
            <w:tcW w:type="dxa" w:w="2410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</w:r>
          </w:p>
        </w:tc>
        <w:tc>
          <w:tcPr>
            <w:tcW w:type="dxa" w:w="2410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</w:r>
          </w:p>
        </w:tc>
        <w:tc>
          <w:tcPr>
            <w:tcW w:type="dxa" w:w="2410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OPEN</w:t>
            </w:r>
          </w:p>
        </w:tc>
      </w:tr>
      <w:tr>
        <w:tc>
          <w:tcPr>
            <w:tcW w:type="dxa" w:w="2410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E-02</w:t>
            </w:r>
          </w:p>
        </w:tc>
        <w:tc>
          <w:tcPr>
            <w:tcW w:type="dxa" w:w="2410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RUNTIME</w:t>
            </w:r>
          </w:p>
        </w:tc>
        <w:tc>
          <w:tcPr>
            <w:tcW w:type="dxa" w:w="2410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python3 lab/OPS014-LAB1/run_checks.py</w:t>
            </w:r>
          </w:p>
        </w:tc>
        <w:tc>
          <w:tcPr>
            <w:tcW w:type="dxa" w:w="2410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</w:r>
          </w:p>
        </w:tc>
        <w:tc>
          <w:tcPr>
            <w:tcW w:type="dxa" w:w="2410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</w:r>
          </w:p>
        </w:tc>
        <w:tc>
          <w:tcPr>
            <w:tcW w:type="dxa" w:w="2410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OPEN</w:t>
            </w:r>
          </w:p>
        </w:tc>
      </w:tr>
      <w:tr>
        <w:tc>
          <w:tcPr>
            <w:tcW w:type="dxa" w:w="2410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E-03</w:t>
            </w:r>
          </w:p>
        </w:tc>
        <w:tc>
          <w:tcPr>
            <w:tcW w:type="dxa" w:w="2410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NEGATIVE PROBE</w:t>
            </w:r>
          </w:p>
        </w:tc>
        <w:tc>
          <w:tcPr>
            <w:tcW w:type="dxa" w:w="2410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A bounded context or module does not have to be a separately deployed microservice.</w:t>
            </w:r>
          </w:p>
        </w:tc>
        <w:tc>
          <w:tcPr>
            <w:tcW w:type="dxa" w:w="2410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</w:r>
          </w:p>
        </w:tc>
        <w:tc>
          <w:tcPr>
            <w:tcW w:type="dxa" w:w="2410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</w:r>
          </w:p>
        </w:tc>
        <w:tc>
          <w:tcPr>
            <w:tcW w:type="dxa" w:w="2410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OPEN</w:t>
            </w:r>
          </w:p>
        </w:tc>
      </w:tr>
      <w:tr>
        <w:tc>
          <w:tcPr>
            <w:tcW w:type="dxa" w:w="2410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E-04</w:t>
            </w:r>
          </w:p>
        </w:tc>
        <w:tc>
          <w:tcPr>
            <w:tcW w:type="dxa" w:w="2410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RECOVERY</w:t>
            </w:r>
          </w:p>
        </w:tc>
        <w:tc>
          <w:tcPr>
            <w:tcW w:type="dxa" w:w="2410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Aggregate Owner evidence is inspectable and its non-claim remains explicit.</w:t>
            </w:r>
          </w:p>
        </w:tc>
        <w:tc>
          <w:tcPr>
            <w:tcW w:type="dxa" w:w="2410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</w:r>
          </w:p>
        </w:tc>
        <w:tc>
          <w:tcPr>
            <w:tcW w:type="dxa" w:w="2410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</w:r>
          </w:p>
        </w:tc>
        <w:tc>
          <w:tcPr>
            <w:tcW w:type="dxa" w:w="2410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OPEN</w:t>
            </w:r>
          </w:p>
        </w:tc>
      </w:tr>
      <w:tr>
        <w:tc>
          <w:tcPr>
            <w:tcW w:type="dxa" w:w="2410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E-05</w:t>
            </w:r>
          </w:p>
        </w:tc>
        <w:tc>
          <w:tcPr>
            <w:tcW w:type="dxa" w:w="2410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TRANSFER</w:t>
            </w:r>
          </w:p>
        </w:tc>
        <w:tc>
          <w:tcPr>
            <w:tcW w:type="dxa" w:w="2410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EX4</w:t>
            </w:r>
          </w:p>
        </w:tc>
        <w:tc>
          <w:tcPr>
            <w:tcW w:type="dxa" w:w="2410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</w:r>
          </w:p>
        </w:tc>
        <w:tc>
          <w:tcPr>
            <w:tcW w:type="dxa" w:w="2410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</w:r>
          </w:p>
        </w:tc>
        <w:tc>
          <w:tcPr>
            <w:tcW w:type="dxa" w:w="2410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OPEN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4458"/>
      </w:tblGrid>
      <w:tr>
        <w:tc>
          <w:tcPr>
            <w:tcW w:type="dxa" w:w="14458"/>
            <w:shd w:fill="FFF0CC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Truth rule: </w:t>
            </w:r>
            <w:r>
              <w:rPr>
                <w:sz w:val="16"/>
              </w:rPr>
              <w:t>Runtime and security claims require retained output from the supplied bounded fixture. Source facts and static readiness are not promoted into production observations.</w:t>
            </w:r>
          </w:p>
        </w:tc>
      </w:tr>
    </w:tbl>
    <w:p>
      <w:r>
        <w:br w:type="page"/>
      </w:r>
    </w:p>
    <w:p>
      <w:pPr>
        <w:spacing w:after="40"/>
      </w:pPr>
      <w:r>
        <w:rPr>
          <w:rFonts w:ascii="Arial" w:hAnsi="Arial"/>
          <w:b/>
          <w:color w:val="10263A"/>
          <w:sz w:val="40"/>
        </w:rPr>
        <w:t>OPS-014  |  Decision Walkthrough</w:t>
      </w:r>
    </w:p>
    <w:p>
      <w:pPr>
        <w:spacing w:after="140"/>
      </w:pPr>
      <w:r>
        <w:rPr>
          <w:rFonts w:ascii="Arial" w:hAnsi="Arial"/>
          <w:color w:val="476074"/>
          <w:sz w:val="18"/>
        </w:rPr>
        <w:t>Run the evidence gates in order and preserve unresolved boundaries.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892"/>
        <w:gridCol w:w="2892"/>
        <w:gridCol w:w="2892"/>
        <w:gridCol w:w="2892"/>
        <w:gridCol w:w="2892"/>
      </w:tblGrid>
      <w:tr>
        <w:tc>
          <w:tcPr>
            <w:tcW w:type="dxa" w:w="2892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Case</w:t>
            </w:r>
          </w:p>
        </w:tc>
        <w:tc>
          <w:tcPr>
            <w:tcW w:type="dxa" w:w="2892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Change</w:t>
            </w:r>
          </w:p>
        </w:tc>
        <w:tc>
          <w:tcPr>
            <w:tcW w:type="dxa" w:w="2892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Prediction</w:t>
            </w:r>
          </w:p>
        </w:tc>
        <w:tc>
          <w:tcPr>
            <w:tcW w:type="dxa" w:w="2892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Evidence to retain</w:t>
            </w:r>
          </w:p>
        </w:tc>
        <w:tc>
          <w:tcPr>
            <w:tcW w:type="dxa" w:w="2892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Decision</w:t>
            </w:r>
          </w:p>
        </w:tc>
      </w:tr>
      <w:tr>
        <w:tc>
          <w:tcPr>
            <w:tcW w:type="dxa" w:w="2892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SIMPLE</w:t>
            </w:r>
          </w:p>
        </w:tc>
        <w:tc>
          <w:tcPr>
            <w:tcW w:type="dxa" w:w="2892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EX1</w:t>
            </w:r>
          </w:p>
        </w:tc>
        <w:tc>
          <w:tcPr>
            <w:tcW w:type="dxa" w:w="2892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Treat aggregate owner as a separate evidence boundary and close it only with inspectable observations from the bounded fixture.</w:t>
            </w:r>
          </w:p>
        </w:tc>
        <w:tc>
          <w:tcPr>
            <w:tcW w:type="dxa" w:w="2892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Retain bounded positive or negative evidence.</w:t>
            </w:r>
          </w:p>
        </w:tc>
        <w:tc>
          <w:tcPr>
            <w:tcW w:type="dxa" w:w="2892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OPEN</w:t>
            </w:r>
          </w:p>
        </w:tc>
      </w:tr>
      <w:tr>
        <w:tc>
          <w:tcPr>
            <w:tcW w:type="dxa" w:w="2892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WRONG APPROACH</w:t>
            </w:r>
          </w:p>
        </w:tc>
        <w:tc>
          <w:tcPr>
            <w:tcW w:type="dxa" w:w="2892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EX2</w:t>
            </w:r>
          </w:p>
        </w:tc>
        <w:tc>
          <w:tcPr>
            <w:tcW w:type="dxa" w:w="2892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Treat owner write api as a separate evidence boundary and close it only with inspectable observations from the bounded fixture.</w:t>
            </w:r>
          </w:p>
        </w:tc>
        <w:tc>
          <w:tcPr>
            <w:tcW w:type="dxa" w:w="2892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Retain bounded positive or negative evidence.</w:t>
            </w:r>
          </w:p>
        </w:tc>
        <w:tc>
          <w:tcPr>
            <w:tcW w:type="dxa" w:w="2892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OPEN</w:t>
            </w:r>
          </w:p>
        </w:tc>
      </w:tr>
      <w:tr>
        <w:tc>
          <w:tcPr>
            <w:tcW w:type="dxa" w:w="2892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EDGE OR FAILURE</w:t>
            </w:r>
          </w:p>
        </w:tc>
        <w:tc>
          <w:tcPr>
            <w:tcW w:type="dxa" w:w="2892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EX3</w:t>
            </w:r>
          </w:p>
        </w:tc>
        <w:tc>
          <w:tcPr>
            <w:tcW w:type="dxa" w:w="2892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Treat anti corruption layer as a separate evidence boundary and close it only with inspectable observations from the bounded fixture.</w:t>
            </w:r>
          </w:p>
        </w:tc>
        <w:tc>
          <w:tcPr>
            <w:tcW w:type="dxa" w:w="2892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Retain bounded positive or negative evidence.</w:t>
            </w:r>
          </w:p>
        </w:tc>
        <w:tc>
          <w:tcPr>
            <w:tcW w:type="dxa" w:w="2892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OPEN</w:t>
            </w:r>
          </w:p>
        </w:tc>
      </w:tr>
      <w:tr>
        <w:tc>
          <w:tcPr>
            <w:tcW w:type="dxa" w:w="2892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TRANSFER NEAR</w:t>
            </w:r>
          </w:p>
        </w:tc>
        <w:tc>
          <w:tcPr>
            <w:tcW w:type="dxa" w:w="2892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EX4</w:t>
            </w:r>
          </w:p>
        </w:tc>
        <w:tc>
          <w:tcPr>
            <w:tcW w:type="dxa" w:w="2892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Treat published language as a separate evidence boundary and close it only with inspectable observations from the bounded fixture.</w:t>
            </w:r>
          </w:p>
        </w:tc>
        <w:tc>
          <w:tcPr>
            <w:tcW w:type="dxa" w:w="2892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Retain bounded positive or negative evidence.</w:t>
            </w:r>
          </w:p>
        </w:tc>
        <w:tc>
          <w:tcPr>
            <w:tcW w:type="dxa" w:w="2892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OPEN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4458"/>
      </w:tblGrid>
      <w:tr>
        <w:tc>
          <w:tcPr>
            <w:tcW w:type="dxa" w:w="14458"/>
            <w:shd w:fill="DDF7EC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Allowed states: </w:t>
            </w:r>
            <w:r>
              <w:rPr>
                <w:sz w:val="16"/>
              </w:rPr>
              <w:t>ACCEPT, REPAIR, DEFER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4458"/>
      </w:tblGrid>
      <w:tr>
        <w:tc>
          <w:tcPr>
            <w:tcW w:type="dxa" w:w="14458"/>
            <w:shd w:fill="FFF0CC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Guardrail: </w:t>
            </w:r>
            <w:r>
              <w:rPr>
                <w:sz w:val="16"/>
              </w:rPr>
              <w:t>A local deterministic fixture does not prove production identity, authorization, confidentiality, integrity, availability, recovery, enforcement, or system-wide security.</w:t>
            </w:r>
          </w:p>
        </w:tc>
      </w:tr>
    </w:tbl>
    <w:p>
      <w:r>
        <w:br w:type="page"/>
      </w:r>
    </w:p>
    <w:p>
      <w:pPr>
        <w:spacing w:after="40"/>
      </w:pPr>
      <w:r>
        <w:rPr>
          <w:rFonts w:ascii="Arial" w:hAnsi="Arial"/>
          <w:b/>
          <w:color w:val="10263A"/>
          <w:sz w:val="40"/>
        </w:rPr>
        <w:t>OPS-014  |  Failure and Repair</w:t>
      </w:r>
    </w:p>
    <w:p>
      <w:pPr>
        <w:spacing w:after="140"/>
      </w:pPr>
      <w:r>
        <w:rPr>
          <w:rFonts w:ascii="Arial" w:hAnsi="Arial"/>
          <w:color w:val="476074"/>
          <w:sz w:val="18"/>
        </w:rPr>
        <w:t>Falsify shortcuts before accepting the bounded decision.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3614"/>
        <w:gridCol w:w="3614"/>
        <w:gridCol w:w="3614"/>
        <w:gridCol w:w="3614"/>
      </w:tblGrid>
      <w:tr>
        <w:tc>
          <w:tcPr>
            <w:tcW w:type="dxa" w:w="3614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Failure</w:t>
            </w:r>
          </w:p>
        </w:tc>
        <w:tc>
          <w:tcPr>
            <w:tcW w:type="dxa" w:w="3614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Signal</w:t>
            </w:r>
          </w:p>
        </w:tc>
        <w:tc>
          <w:tcPr>
            <w:tcW w:type="dxa" w:w="3614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Repair</w:t>
            </w:r>
          </w:p>
        </w:tc>
        <w:tc>
          <w:tcPr>
            <w:tcW w:type="dxa" w:w="3614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Recovery check</w:t>
            </w:r>
          </w:p>
        </w:tc>
      </w:tr>
      <w:tr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A bounded context or module does not have to be a separately deployed microservice.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No retained evidence closes the aggregate owner boundary.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Retain the fixture output that distinguishes observed aggregate owner facts from inference, unknowns.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Aggregate Owner evidence is inspectable and its non-claim remains explicit.</w:t>
            </w:r>
          </w:p>
        </w:tc>
      </w:tr>
      <w:tr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Owning domain data does not require every module to use a physically separate database in.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No retained evidence closes the owner write api boundary.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Retain the fixture output that distinguishes observed owner write api facts from inference, unknowns.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Owner Write Api evidence is inspectable and its non-claim remains explicit.</w:t>
            </w:r>
          </w:p>
        </w:tc>
      </w:tr>
      <w:tr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Sharing the same identifier across modules does not mean the modules share the same domain.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No retained evidence closes the anti corruption layer boundary.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Retain the fixture output that distinguishes observed anti corruption layer facts from inference.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Anti Corruption Layer evidence is inspectable and its non-claim remains explicit.</w:t>
            </w:r>
          </w:p>
        </w:tc>
      </w:tr>
      <w:tr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Events are not the mandatory solution for every cross-module interaction.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No retained evidence closes the published language boundary.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Retain the fixture output that distinguishes observed published language facts from inference.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Published Language evidence is inspectable and its non-claim remains explicit.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4458"/>
      </w:tblGrid>
      <w:tr>
        <w:tc>
          <w:tcPr>
            <w:tcW w:type="dxa" w:w="14458"/>
            <w:shd w:fill="DDF7EC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Transfer case: </w:t>
            </w:r>
            <w:r>
              <w:rPr>
                <w:sz w:val="16"/>
              </w:rPr>
              <w:t>EX4</w:t>
            </w:r>
          </w:p>
        </w:tc>
      </w:tr>
    </w:tbl>
    <w:p>
      <w:r>
        <w:t>Transfer observation: __________________________________________________________________________________________</w:t>
      </w:r>
    </w:p>
    <w:p>
      <w:r>
        <w:t>Recomputed decision: ____________________________________________________________________________________________</w:t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color w:val="10263A"/>
          <w:sz w:val="40"/>
        </w:rPr>
        <w:t>OPS-014  |  Review and Sign-off</w:t>
      </w:r>
    </w:p>
    <w:p>
      <w:pPr>
        <w:spacing w:after="140"/>
      </w:pPr>
      <w:r>
        <w:rPr>
          <w:rFonts w:ascii="Arial" w:hAnsi="Arial"/>
          <w:color w:val="476074"/>
          <w:sz w:val="18"/>
        </w:rPr>
        <w:t>Acceptance requires inspectable evidence plus an explicit residual limitation.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3614"/>
        <w:gridCol w:w="3614"/>
        <w:gridCol w:w="3614"/>
        <w:gridCol w:w="3614"/>
      </w:tblGrid>
      <w:tr>
        <w:tc>
          <w:tcPr>
            <w:tcW w:type="dxa" w:w="3614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Review control</w:t>
            </w:r>
          </w:p>
        </w:tc>
        <w:tc>
          <w:tcPr>
            <w:tcW w:type="dxa" w:w="3614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Required response</w:t>
            </w:r>
          </w:p>
        </w:tc>
        <w:tc>
          <w:tcPr>
            <w:tcW w:type="dxa" w:w="3614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Reviewer evidence</w:t>
            </w:r>
          </w:p>
        </w:tc>
        <w:tc>
          <w:tcPr>
            <w:tcW w:type="dxa" w:w="3614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Disposition</w:t>
            </w:r>
          </w:p>
        </w:tc>
      </w:tr>
      <w:tr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Canonical fields addressed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YES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OPEN</w:t>
            </w:r>
          </w:p>
        </w:tc>
      </w:tr>
      <w:tr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Negative probe retained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YES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OPEN</w:t>
            </w:r>
          </w:p>
        </w:tc>
      </w:tr>
      <w:tr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Recovery evidence retained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YES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OPEN</w:t>
            </w:r>
          </w:p>
        </w:tc>
      </w:tr>
      <w:tr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Changed-context transfer complete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YES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OPEN</w:t>
            </w:r>
          </w:p>
        </w:tc>
      </w:tr>
      <w:tr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Source facts separated from inference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YES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OPEN</w:t>
            </w:r>
          </w:p>
        </w:tc>
      </w:tr>
      <w:tr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Residual limitation explicit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YES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OPEN</w:t>
            </w:r>
          </w:p>
        </w:tc>
      </w:tr>
      <w:tr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Final bounded decision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ACCEPT / REPAIR / DEFER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OPEN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4458"/>
      </w:tblGrid>
      <w:tr>
        <w:tc>
          <w:tcPr>
            <w:tcW w:type="dxa" w:w="14458"/>
            <w:shd w:fill="FFF0CC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First explicit non-claim: </w:t>
            </w:r>
            <w:r>
              <w:rPr>
                <w:sz w:val="16"/>
              </w:rPr>
              <w:t>A bounded context or module does not have to be a separately deployed microservice.</w:t>
            </w:r>
          </w:p>
        </w:tc>
      </w:tr>
    </w:tbl>
    <w:p>
      <w:r>
        <w:t>Reviewer: __________________________   Date: __________________   Record owner: __________________________</w:t>
      </w:r>
    </w:p>
    <w:sectPr w:rsidR="00FC693F" w:rsidRPr="0006063C" w:rsidSect="00034616">
      <w:pgSz w:w="15840" w:h="12240" w:orient="landscape"/>
      <w:pgMar w:top="648" w:right="691" w:bottom="605" w:left="6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color w:val="182536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