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0263A"/>
          <w:sz w:val="40"/>
        </w:rPr>
        <w:t>OPS-013  |  Release Ring Activation Matrix v1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Release Rings: Target Architecture vs Runtime Activation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Bounded outcome: </w:t>
            </w:r>
            <w:r>
              <w:rPr>
                <w:sz w:val="16"/>
              </w:rPr>
              <w:t>Build a release-ring matrix that separates target architecture, deployed artifact, runtime activation, audience/cohort, health evidence, approval evidence, drift, and transition state so promotion, hold, rollback, and unresolved convergence remain reviewable.</w:t>
            </w:r>
          </w:p>
        </w:tc>
      </w:tr>
    </w:tbl>
    <w:p>
      <w:r>
        <w:rPr>
          <w:b/>
        </w:rPr>
        <w:t>Evidence path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  <w:gridCol w:w="4819"/>
      </w:tblGrid>
      <w:tr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Boundary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Inspectable claim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Explicit non-claim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target state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target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deployment ring is not automatically the same thing as a development, staging or production environment.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artifact state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artifact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deployed artifact is not proof that its feature path is activated for a given cohort.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activation state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activation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feature flag is not a replacement for artifact/version deployment state.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cohort state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cohort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Manual approval is not proof of technical correctness or healthy runtime behavior.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health gate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health gate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The lesson does not prescribe a universal number, name, percentage, bake time, or promotion threshold for release rings.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 BOUNDARY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Separate source facts, local observations, bounded inferences, and human decisions.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Unavailable production behavior remains NOT_OBSERVED or NEEDS_VERIFICATION.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Acceptance gate: </w:t>
            </w:r>
            <w:r>
              <w:rPr>
                <w:sz w:val="16"/>
              </w:rPr>
              <w:t>Accept only when every critical dimension has inspectable evidence, the negative probe behaves as predicted, and changed-context transfer preserves a residual limitation.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OPS-013  |  Blank Evidence Record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Complete every field from retained observations; mark unavailable evidence OPEN.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Canonical field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Observed evidence / value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Ring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Intended Target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Environment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Desired Artifact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Artifact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Deployment Evidence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Desired Activation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Activation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Desired Cohort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Cohort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Health Gate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Approval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Drift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Promote / Hold / Rollback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Reconciliation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Source projection: </w:t>
            </w:r>
            <w:r>
              <w:rPr>
                <w:sz w:val="16"/>
              </w:rPr>
              <w:t>derived_text/tables/release_ring_activation_matrix.md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OPS-013  |  Evidence Index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Link every decision to a source, command, output, or explicitly bounded inference.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  <w:gridCol w:w="2410"/>
        <w:gridCol w:w="2410"/>
      </w:tblGrid>
      <w:tr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Source / command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Observation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Supports / falsifies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E-01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BASELINE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derived_text/tables/release_ring_activation_matrix.md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E-02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RUNTIME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python3 lab/OPS013-LAB1/run_checks.py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E-03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NEGATIVE PROBE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deployment ring is not automatically the same thing as a development, staging or production.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E-04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RECOVERY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Target State evidence is inspectable and its non-claim remains explicit.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E-05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Truth rule: </w:t>
            </w:r>
            <w:r>
              <w:rPr>
                <w:sz w:val="16"/>
              </w:rPr>
              <w:t>Runtime and security claims require retained output from the supplied bounded fixture. Source facts and static readiness are not promoted into production observations.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OPS-013  |  Decision Walkthrough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Run the evidence gates in order and preserve unresolved boundaries.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92"/>
        <w:gridCol w:w="2892"/>
        <w:gridCol w:w="2892"/>
        <w:gridCol w:w="2892"/>
        <w:gridCol w:w="2892"/>
      </w:tblGrid>
      <w:tr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Case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Change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Prediction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to retain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Decision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SIMPLE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EX1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target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WRONG APPROACH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EX2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artifact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EDGE OR FAILURE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EX3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activation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 NEAR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cohort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Allowed states: </w:t>
            </w:r>
            <w:r>
              <w:rPr>
                <w:sz w:val="16"/>
              </w:rPr>
              <w:t>ACCEPT, REPAIR, DEFER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Guardrail: </w:t>
            </w:r>
            <w:r>
              <w:rPr>
                <w:sz w:val="16"/>
              </w:rPr>
              <w:t>A local deterministic fixture does not prove production identity, authorization, confidentiality, integrity, availability, recovery, enforcement, or system-wide security.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OPS-013  |  Failure and Repair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Falsify shortcuts before accepting the bounded decision.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Failure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Signal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Repair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Recovery check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deployment ring is not automatically the same thing as a development, staging or production.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target state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target facts from inference, unknowns, and the.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Target State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deployed artifact is not proof that its feature path is activated for a given cohort.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artifact state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artifact facts from inference, unknowns, and the.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Artifact State evidence is inspectable and its non-claim remains explicit.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feature flag is not a replacement for artifact/version deployment state.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activation state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activation facts from inference, unknowns, and.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Activation State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Manual approval is not proof of technical correctness or healthy runtime behavior.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cohort state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cohort facts from inference, unknowns, and the.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Cohort State evidence is inspectable and its non-claim remains explicit.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Transfer case: </w:t>
            </w:r>
            <w:r>
              <w:rPr>
                <w:sz w:val="16"/>
              </w:rPr>
              <w:t>EX4</w:t>
            </w:r>
          </w:p>
        </w:tc>
      </w:tr>
    </w:tbl>
    <w:p>
      <w:r>
        <w:t>Transfer observation: __________________________________________________________________________________________</w:t>
      </w:r>
    </w:p>
    <w:p>
      <w:r>
        <w:t>Recomputed decision: ____________________________________________________________________________________________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OPS-013  |  Review and Sign-off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Acceptance requires inspectable evidence plus an explicit residual limitation.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 control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Required response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Reviewer evidence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Disposition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Canonical fields addressed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Negative probe retained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Recovery evidence retained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Changed-context transfer complete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Source facts separated from inference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Residual limitation explicit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Final bounded decision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ACCEPT / REPAIR / DEFER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First explicit non-claim: </w:t>
            </w:r>
            <w:r>
              <w:rPr>
                <w:sz w:val="16"/>
              </w:rPr>
              <w:t>A deployment ring is not automatically the same thing as a development, staging or production environment.</w:t>
            </w:r>
          </w:p>
        </w:tc>
      </w:tr>
    </w:tbl>
    <w:p>
      <w:r>
        <w:t>Reviewer: __________________________   Date: __________________   Record owner: __________________________</w:t>
      </w:r>
    </w:p>
    <w:sectPr w:rsidR="00FC693F" w:rsidRPr="0006063C" w:rsidSect="00034616">
      <w:pgSz w:w="15840" w:h="12240" w:orient="landscape"/>
      <w:pgMar w:top="648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36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