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60" w:after="160"/>
      </w:pPr>
      <w:r>
        <w:rPr>
          <w:rFonts w:ascii="Aptos" w:hAnsi="Aptos"/>
          <w:b/>
          <w:color w:val="46D3E6"/>
          <w:sz w:val="22"/>
        </w:rPr>
        <w:t>FND-001-P02  |  MAKNOW FOUNDATION</w:t>
      </w:r>
    </w:p>
    <w:p>
      <w:pPr>
        <w:spacing w:before="480" w:after="280"/>
      </w:pPr>
      <w:r>
        <w:rPr>
          <w:rFonts w:ascii="Aptos Display" w:hAnsi="Aptos Display"/>
          <w:b/>
          <w:color w:val="0A1020"/>
          <w:sz w:val="60"/>
        </w:rPr>
        <w:t>Define the work boundary: scope, constraints, and out of scope</w:t>
      </w:r>
    </w:p>
    <w:p>
      <w:pPr>
        <w:spacing w:after="440"/>
      </w:pPr>
      <w:r>
        <w:rPr>
          <w:rFonts w:ascii="Aptos Display" w:hAnsi="Aptos Display"/>
          <w:b/>
          <w:color w:val="8A5300"/>
          <w:sz w:val="34"/>
        </w:rPr>
        <w:t>What must change, what must not change, and what stays unresolved?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8352"/>
      </w:tblGrid>
      <w:tr>
        <w:tc>
          <w:tcPr>
            <w:tcW w:type="dxa" w:w="5112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8"/>
              </w:rPr>
              <w:t>BUILD</w:t>
            </w:r>
          </w:p>
        </w:tc>
        <w:tc>
          <w:tcPr>
            <w:tcW w:type="dxa" w:w="5112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21"/>
              </w:rPr>
              <w:t>Scope Box v1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8352"/>
      </w:tblGrid>
      <w:tr>
        <w:tc>
          <w:tcPr>
            <w:tcW w:type="dxa" w:w="5112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8"/>
              </w:rPr>
              <w:t>OUTCOME</w:t>
            </w:r>
          </w:p>
        </w:tc>
        <w:tc>
          <w:tcPr>
            <w:tcW w:type="dxa" w:w="5112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21"/>
              </w:rPr>
              <w:t>Produce a Scope Box v1 that distinguishes in-scope responsibility, constraints, operational exclusions, and dependency boundaries.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8352"/>
      </w:tblGrid>
      <w:tr>
        <w:tc>
          <w:tcPr>
            <w:tcW w:type="dxa" w:w="5112"/>
            <w:vAlign w:val="center"/>
            <w:shd w:fill="FFF1D8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8"/>
              </w:rPr>
              <w:t>BOUNDARY</w:t>
            </w:r>
          </w:p>
        </w:tc>
        <w:tc>
          <w:tcPr>
            <w:tcW w:type="dxa" w:w="5112"/>
            <w:vAlign w:val="center"/>
            <w:shd w:fill="FFF1D8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21"/>
              </w:rPr>
              <w:t>Do not define pass or fail acceptance criteria. FND-001-P03 owns proof of done.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8352"/>
      </w:tblGrid>
      <w:tr>
        <w:tc>
          <w:tcPr>
            <w:tcW w:type="dxa" w:w="5112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8"/>
              </w:rPr>
              <w:t>EVIDENCE</w:t>
            </w:r>
          </w:p>
        </w:tc>
        <w:tc>
          <w:tcPr>
            <w:tcW w:type="dxa" w:w="5112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21"/>
              </w:rPr>
              <w:t>In-scope responsibilities + sourced constraints + operational exclusions + dependency owner or unknown</w:t>
            </w:r>
          </w:p>
        </w:tc>
      </w:tr>
    </w:tbl>
    <w:p>
      <w:pPr>
        <w:spacing w:after="0"/>
      </w:pPr>
    </w:p>
    <w:p>
      <w:pPr>
        <w:spacing w:before="360" w:after="80"/>
      </w:pPr>
      <w:r>
        <w:rPr>
          <w:rFonts w:ascii="Aptos" w:hAnsi="Aptos"/>
          <w:b/>
          <w:color w:val="5D6B82"/>
          <w:sz w:val="22"/>
        </w:rPr>
        <w:t>Learner and review record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vAlign w:val="center"/>
            <w:shd w:fill="EFF3F8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9"/>
              </w:rPr>
              <w:t>Learner</w:t>
            </w:r>
          </w:p>
        </w:tc>
        <w:tc>
          <w:tcPr>
            <w:tcW w:type="dxa" w:w="2556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9"/>
              </w:rPr>
            </w:r>
          </w:p>
        </w:tc>
        <w:tc>
          <w:tcPr>
            <w:tcW w:type="dxa" w:w="2556"/>
            <w:vAlign w:val="center"/>
            <w:shd w:fill="EFF3F8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9"/>
              </w:rPr>
              <w:t>Reviewer</w:t>
            </w:r>
          </w:p>
        </w:tc>
        <w:tc>
          <w:tcPr>
            <w:tcW w:type="dxa" w:w="2556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9"/>
              </w:rPr>
            </w:r>
          </w:p>
        </w:tc>
      </w:tr>
      <w:tr>
        <w:tc>
          <w:tcPr>
            <w:tcW w:type="dxa" w:w="2556"/>
            <w:vAlign w:val="center"/>
            <w:shd w:fill="EFF3F8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9"/>
              </w:rPr>
              <w:t>Date</w:t>
            </w:r>
          </w:p>
        </w:tc>
        <w:tc>
          <w:tcPr>
            <w:tcW w:type="dxa" w:w="2556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9"/>
              </w:rPr>
            </w:r>
          </w:p>
        </w:tc>
        <w:tc>
          <w:tcPr>
            <w:tcW w:type="dxa" w:w="2556"/>
            <w:vAlign w:val="center"/>
            <w:shd w:fill="EFF3F8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9"/>
              </w:rPr>
              <w:t>Artifact version</w:t>
            </w:r>
          </w:p>
        </w:tc>
        <w:tc>
          <w:tcPr>
            <w:tcW w:type="dxa" w:w="2556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9"/>
              </w:rPr>
              <w:t>v1</w:t>
            </w:r>
          </w:p>
        </w:tc>
      </w:tr>
    </w:tbl>
    <w:p>
      <w:pPr>
        <w:spacing w:before="480"/>
      </w:pPr>
      <w:r>
        <w:rPr>
          <w:rFonts w:ascii="Aptos" w:hAnsi="Aptos"/>
          <w:color w:val="5D6B82"/>
          <w:sz w:val="19"/>
        </w:rPr>
        <w:t>Use this worksheet to make the reasoning inspectable. The completed artifact remains bounded by the canonical lesson.</w:t>
      </w:r>
    </w:p>
    <w:p>
      <w:r>
        <w:br w:type="page"/>
      </w:r>
    </w:p>
    <w:p>
      <w:pPr>
        <w:pStyle w:val="Heading1"/>
        <w:keepNext/>
      </w:pPr>
      <w:r>
        <w:rPr>
          <w:rFonts w:ascii="Aptos Display" w:hAnsi="Aptos Display"/>
          <w:color w:val="46D3E6"/>
        </w:rPr>
        <w:t>1. Scope Box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rPr>
          <w:tblHeader w:val="true"/>
        </w:trPr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Section</w:t>
            </w:r>
          </w:p>
        </w:tc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Statement</w:t>
            </w:r>
          </w:p>
        </w:tc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Source or rationale</w:t>
            </w:r>
          </w:p>
        </w:tc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Operational effect</w:t>
            </w:r>
          </w:p>
        </w:tc>
      </w:tr>
      <w:tr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/>
                <w:color w:val="14213D"/>
                <w:sz w:val="17"/>
              </w:rPr>
              <w:t>In scope</w:t>
            </w:r>
          </w:p>
        </w:tc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</w:tr>
      <w:tr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/>
                <w:color w:val="14213D"/>
                <w:sz w:val="17"/>
              </w:rPr>
              <w:t>In scope</w:t>
            </w:r>
          </w:p>
        </w:tc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</w:tr>
      <w:tr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/>
                <w:color w:val="14213D"/>
                <w:sz w:val="17"/>
              </w:rPr>
              <w:t>Constraint</w:t>
            </w:r>
          </w:p>
        </w:tc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</w:tr>
      <w:tr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/>
                <w:color w:val="14213D"/>
                <w:sz w:val="17"/>
              </w:rPr>
              <w:t>Constraint</w:t>
            </w:r>
          </w:p>
        </w:tc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</w:tr>
      <w:tr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/>
                <w:color w:val="14213D"/>
                <w:sz w:val="17"/>
              </w:rPr>
              <w:t>Out of scope</w:t>
            </w:r>
          </w:p>
        </w:tc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</w:tr>
      <w:tr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/>
                <w:color w:val="14213D"/>
                <w:sz w:val="17"/>
              </w:rPr>
              <w:t>Out of scope</w:t>
            </w:r>
          </w:p>
        </w:tc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</w:tr>
      <w:tr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/>
                <w:color w:val="14213D"/>
                <w:sz w:val="17"/>
              </w:rPr>
              <w:t>Dependency</w:t>
            </w:r>
          </w:p>
        </w:tc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</w:tr>
      <w:tr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/>
                <w:color w:val="14213D"/>
                <w:sz w:val="17"/>
              </w:rPr>
              <w:t>Unresolved</w:t>
            </w:r>
          </w:p>
        </w:tc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</w:tr>
    </w:tbl>
    <w:p>
      <w:pPr>
        <w:pStyle w:val="Heading1"/>
        <w:keepNext/>
      </w:pPr>
      <w:r>
        <w:rPr>
          <w:rFonts w:ascii="Aptos Display" w:hAnsi="Aptos Display"/>
          <w:color w:val="46D3E6"/>
        </w:rPr>
        <w:t>2. Dependency boundary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rPr>
          <w:tblHeader w:val="true"/>
        </w:trPr>
        <w:tc>
          <w:tcPr>
            <w:tcW w:type="dxa" w:w="2045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</w:r>
            <w:r>
              <w:rPr>
                <w:rFonts w:ascii="Aptos" w:hAnsi="Aptos"/>
                <w:b/>
                <w:color w:val="FFFFFF"/>
                <w:sz w:val="16"/>
              </w:rPr>
              <w:t>Dependency</w:t>
            </w:r>
          </w:p>
        </w:tc>
        <w:tc>
          <w:tcPr>
            <w:tcW w:type="dxa" w:w="2045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</w:r>
            <w:r>
              <w:rPr>
                <w:rFonts w:ascii="Aptos" w:hAnsi="Aptos"/>
                <w:b/>
                <w:color w:val="FFFFFF"/>
                <w:sz w:val="16"/>
              </w:rPr>
              <w:t>Required state</w:t>
            </w:r>
          </w:p>
        </w:tc>
        <w:tc>
          <w:tcPr>
            <w:tcW w:type="dxa" w:w="2045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</w:r>
            <w:r>
              <w:rPr>
                <w:rFonts w:ascii="Aptos" w:hAnsi="Aptos"/>
                <w:b/>
                <w:color w:val="FFFFFF"/>
                <w:sz w:val="16"/>
              </w:rPr>
              <w:t>Owner / authority / unknown</w:t>
            </w:r>
          </w:p>
        </w:tc>
        <w:tc>
          <w:tcPr>
            <w:tcW w:type="dxa" w:w="2045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</w:r>
            <w:r>
              <w:rPr>
                <w:rFonts w:ascii="Aptos" w:hAnsi="Aptos"/>
                <w:b/>
                <w:color w:val="FFFFFF"/>
                <w:sz w:val="16"/>
              </w:rPr>
              <w:t>Failure impact</w:t>
            </w:r>
          </w:p>
        </w:tc>
        <w:tc>
          <w:tcPr>
            <w:tcW w:type="dxa" w:w="2045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</w:r>
            <w:r>
              <w:rPr>
                <w:rFonts w:ascii="Aptos" w:hAnsi="Aptos"/>
                <w:b/>
                <w:color w:val="FFFFFF"/>
                <w:sz w:val="16"/>
              </w:rPr>
              <w:t>Escalation</w:t>
            </w:r>
          </w:p>
        </w:tc>
      </w:tr>
      <w:tr>
        <w:tc>
          <w:tcPr>
            <w:tcW w:type="dxa" w:w="2045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  <w:tc>
          <w:tcPr>
            <w:tcW w:type="dxa" w:w="2045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  <w:tc>
          <w:tcPr>
            <w:tcW w:type="dxa" w:w="2045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  <w:tc>
          <w:tcPr>
            <w:tcW w:type="dxa" w:w="2045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  <w:tc>
          <w:tcPr>
            <w:tcW w:type="dxa" w:w="2045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</w:tr>
      <w:tr>
        <w:tc>
          <w:tcPr>
            <w:tcW w:type="dxa" w:w="2045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  <w:tc>
          <w:tcPr>
            <w:tcW w:type="dxa" w:w="2045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  <w:tc>
          <w:tcPr>
            <w:tcW w:type="dxa" w:w="2045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  <w:tc>
          <w:tcPr>
            <w:tcW w:type="dxa" w:w="2045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  <w:tc>
          <w:tcPr>
            <w:tcW w:type="dxa" w:w="2045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</w:tr>
      <w:tr>
        <w:tc>
          <w:tcPr>
            <w:tcW w:type="dxa" w:w="2045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  <w:tc>
          <w:tcPr>
            <w:tcW w:type="dxa" w:w="2045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  <w:tc>
          <w:tcPr>
            <w:tcW w:type="dxa" w:w="2045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  <w:tc>
          <w:tcPr>
            <w:tcW w:type="dxa" w:w="2045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  <w:tc>
          <w:tcPr>
            <w:tcW w:type="dxa" w:w="2045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</w:tr>
      <w:tr>
        <w:tc>
          <w:tcPr>
            <w:tcW w:type="dxa" w:w="2045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  <w:tc>
          <w:tcPr>
            <w:tcW w:type="dxa" w:w="2045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  <w:tc>
          <w:tcPr>
            <w:tcW w:type="dxa" w:w="2045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  <w:tc>
          <w:tcPr>
            <w:tcW w:type="dxa" w:w="2045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  <w:tc>
          <w:tcPr>
            <w:tcW w:type="dxa" w:w="2045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rPr>
          <w:rFonts w:ascii="Aptos Display" w:hAnsi="Aptos Display"/>
          <w:color w:val="46D3E6"/>
        </w:rPr>
        <w:t>3. Change control check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 w:val="true"/>
        </w:trPr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Proposed addition</w:t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Inside the box?</w:t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Reject, accept, or create Change Request</w:t>
            </w:r>
          </w:p>
        </w:tc>
      </w:tr>
      <w:tr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</w:tr>
      <w:tr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</w:tr>
      <w:tr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</w:tr>
      <w:tr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</w:tr>
    </w:tbl>
    <w:p>
      <w:pPr>
        <w:pStyle w:val="Heading1"/>
        <w:keepNext/>
      </w:pPr>
      <w:r>
        <w:rPr>
          <w:rFonts w:ascii="Aptos Display" w:hAnsi="Aptos Display"/>
          <w:color w:val="46D3E6"/>
        </w:rPr>
        <w:t>Human review decision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880"/>
        <w:gridCol w:w="7704"/>
      </w:tblGrid>
      <w:tr>
        <w:tc>
          <w:tcPr>
            <w:tcW w:type="dxa" w:w="5112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9"/>
              </w:rPr>
              <w:t>Decision</w:t>
            </w:r>
          </w:p>
        </w:tc>
        <w:tc>
          <w:tcPr>
            <w:tcW w:type="dxa" w:w="5112"/>
            <w:vAlign w:val="center"/>
            <w:shd w:fill="FFFFFF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20"/>
              </w:rPr>
              <w:t>ACCEPT  /  MODIFY  /  REJECT</w:t>
            </w:r>
          </w:p>
        </w:tc>
      </w:tr>
      <w:tr>
        <w:tc>
          <w:tcPr>
            <w:tcW w:type="dxa" w:w="5112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9"/>
              </w:rPr>
              <w:t>Reason tied to evidence</w:t>
            </w:r>
          </w:p>
        </w:tc>
        <w:tc>
          <w:tcPr>
            <w:tcW w:type="dxa" w:w="5112"/>
            <w:vAlign w:val="center"/>
            <w:shd w:fill="FFFFFF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20"/>
              </w:rPr>
            </w:r>
            <w:r>
              <w:rPr>
                <w:rFonts w:ascii="Aptos" w:hAnsi="Aptos"/>
                <w:color w:val="AAB8C8"/>
                <w:sz w:val="16"/>
              </w:rPr>
              <w:t>________________________________________________________________</w:t>
            </w:r>
            <w:r>
              <w:br/>
            </w:r>
            <w:r>
              <w:rPr>
                <w:rFonts w:ascii="Aptos" w:hAnsi="Aptos"/>
                <w:color w:val="AAB8C8"/>
                <w:sz w:val="16"/>
              </w:rPr>
              <w:t>________________________________________________________________</w:t>
            </w:r>
          </w:p>
        </w:tc>
      </w:tr>
      <w:tr>
        <w:tc>
          <w:tcPr>
            <w:tcW w:type="dxa" w:w="5112"/>
            <w:vAlign w:val="center"/>
            <w:shd w:fill="FFF1D8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9"/>
              </w:rPr>
              <w:t>Open item and owner</w:t>
            </w:r>
          </w:p>
        </w:tc>
        <w:tc>
          <w:tcPr>
            <w:tcW w:type="dxa" w:w="5112"/>
            <w:vAlign w:val="center"/>
            <w:shd w:fill="FFFFFF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20"/>
              </w:rPr>
            </w:r>
            <w:r>
              <w:rPr>
                <w:rFonts w:ascii="Aptos" w:hAnsi="Aptos"/>
                <w:color w:val="AAB8C8"/>
                <w:sz w:val="16"/>
              </w:rPr>
              <w:t>________________________________________________________________</w:t>
            </w:r>
          </w:p>
        </w:tc>
      </w:tr>
      <w:tr>
        <w:tc>
          <w:tcPr>
            <w:tcW w:type="dxa" w:w="5112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9"/>
              </w:rPr>
              <w:t>Handoff</w:t>
            </w:r>
          </w:p>
        </w:tc>
        <w:tc>
          <w:tcPr>
            <w:tcW w:type="dxa" w:w="5112"/>
            <w:vAlign w:val="center"/>
            <w:shd w:fill="FFFFFF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20"/>
              </w:rPr>
              <w:t>Pass bounded behaviors and relevant constraints to FND-001-P03. Do not define proof here.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rPr>
          <w:rFonts w:ascii="Aptos Display" w:hAnsi="Aptos Display"/>
          <w:color w:val="46D3E6"/>
        </w:rPr>
        <w:t>Worked reference case</w:t>
      </w:r>
    </w:p>
    <w:p>
      <w:pPr>
        <w:spacing w:after="200"/>
      </w:pPr>
      <w:r>
        <w:rPr>
          <w:rFonts w:ascii="Aptos" w:hAnsi="Aptos"/>
          <w:b/>
          <w:color w:val="14213D"/>
          <w:sz w:val="22"/>
        </w:rPr>
        <w:t>Bound the task-list filter before anyone chooses files or implementation steps.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tblHeader w:val="true"/>
        </w:trPr>
        <w:tc>
          <w:tcPr>
            <w:tcW w:type="dxa" w:w="511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</w:r>
            <w:r>
              <w:rPr>
                <w:rFonts w:ascii="Aptos" w:hAnsi="Aptos"/>
                <w:b/>
                <w:color w:val="FFFFFF"/>
                <w:sz w:val="18"/>
              </w:rPr>
              <w:t>Field</w:t>
            </w:r>
          </w:p>
        </w:tc>
        <w:tc>
          <w:tcPr>
            <w:tcW w:type="dxa" w:w="511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</w:r>
            <w:r>
              <w:rPr>
                <w:rFonts w:ascii="Aptos" w:hAnsi="Aptos"/>
                <w:b/>
                <w:color w:val="FFFFFF"/>
                <w:sz w:val="18"/>
              </w:rPr>
              <w:t>Worked entry</w:t>
            </w:r>
          </w:p>
        </w:tc>
      </w:tr>
      <w:tr>
        <w:tc>
          <w:tcPr>
            <w:tcW w:type="dxa" w:w="511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/>
                <w:color w:val="14213D"/>
                <w:sz w:val="18"/>
              </w:rPr>
              <w:t>In scope</w:t>
            </w:r>
          </w:p>
        </w:tc>
        <w:tc>
          <w:tcPr>
            <w:tcW w:type="dxa" w:w="511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  <w:t>All and Unfinished view behavior</w:t>
            </w:r>
          </w:p>
        </w:tc>
      </w:tr>
      <w:tr>
        <w:tc>
          <w:tcPr>
            <w:tcW w:type="dxa" w:w="511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/>
                <w:color w:val="14213D"/>
                <w:sz w:val="18"/>
              </w:rPr>
              <w:t>Constraint</w:t>
            </w:r>
          </w:p>
        </w:tc>
        <w:tc>
          <w:tcPr>
            <w:tcW w:type="dxa" w:w="511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  <w:t>Existing storage structure remains unchanged</w:t>
            </w:r>
          </w:p>
        </w:tc>
      </w:tr>
      <w:tr>
        <w:tc>
          <w:tcPr>
            <w:tcW w:type="dxa" w:w="511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/>
                <w:color w:val="14213D"/>
                <w:sz w:val="18"/>
              </w:rPr>
              <w:t>Out of scope</w:t>
            </w:r>
          </w:p>
        </w:tc>
        <w:tc>
          <w:tcPr>
            <w:tcW w:type="dxa" w:w="511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  <w:t>Full redesign, schema redesign, and unrelated cleanup</w:t>
            </w:r>
          </w:p>
        </w:tc>
      </w:tr>
      <w:tr>
        <w:tc>
          <w:tcPr>
            <w:tcW w:type="dxa" w:w="511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/>
                <w:color w:val="14213D"/>
                <w:sz w:val="18"/>
              </w:rPr>
              <w:t>Dependency</w:t>
            </w:r>
          </w:p>
        </w:tc>
        <w:tc>
          <w:tcPr>
            <w:tcW w:type="dxa" w:w="511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  <w:t>Existing completion-state semantics. Owner is not yet confirmed</w:t>
            </w:r>
          </w:p>
        </w:tc>
      </w:tr>
      <w:tr>
        <w:tc>
          <w:tcPr>
            <w:tcW w:type="dxa" w:w="511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/>
                <w:color w:val="14213D"/>
                <w:sz w:val="18"/>
              </w:rPr>
              <w:t>Unresolved</w:t>
            </w:r>
          </w:p>
        </w:tc>
        <w:tc>
          <w:tcPr>
            <w:tcW w:type="dxa" w:w="511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  <w:t>Persistence is neither in scope nor out of scope until authority resolves it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8352"/>
      </w:tblGrid>
      <w:tr>
        <w:tc>
          <w:tcPr>
            <w:tcW w:type="dxa" w:w="5112"/>
            <w:vAlign w:val="center"/>
            <w:shd w:fill="FFF1D8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8"/>
              </w:rPr>
              <w:t>DECISION</w:t>
            </w:r>
          </w:p>
        </w:tc>
        <w:tc>
          <w:tcPr>
            <w:tcW w:type="dxa" w:w="5112"/>
            <w:vAlign w:val="center"/>
            <w:shd w:fill="FFF1D8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21"/>
              </w:rPr>
              <w:t>READY FOR P03: The work boundary is operational and the dependency risk remains visible.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8352"/>
      </w:tblGrid>
      <w:tr>
        <w:tc>
          <w:tcPr>
            <w:tcW w:type="dxa" w:w="5112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8"/>
              </w:rPr>
              <w:t>BOUNDARY</w:t>
            </w:r>
          </w:p>
        </w:tc>
        <w:tc>
          <w:tcPr>
            <w:tcW w:type="dxa" w:w="5112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21"/>
              </w:rPr>
              <w:t>The box does not yet say how pass or fail will be proven.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rPr>
          <w:rFonts w:ascii="Aptos Display" w:hAnsi="Aptos Display"/>
          <w:color w:val="46D3E6"/>
        </w:rPr>
        <w:t>Self-check before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 w:val="true"/>
        </w:trPr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</w:r>
            <w:r>
              <w:rPr>
                <w:rFonts w:ascii="Aptos" w:hAnsi="Aptos"/>
                <w:b/>
                <w:color w:val="FFFFFF"/>
                <w:sz w:val="18"/>
              </w:rPr>
              <w:t>Check</w:t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</w:r>
            <w:r>
              <w:rPr>
                <w:rFonts w:ascii="Aptos" w:hAnsi="Aptos"/>
                <w:b/>
                <w:color w:val="FFFFFF"/>
                <w:sz w:val="18"/>
              </w:rPr>
              <w:t>Yes / No</w:t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</w:r>
            <w:r>
              <w:rPr>
                <w:rFonts w:ascii="Aptos" w:hAnsi="Aptos"/>
                <w:b/>
                <w:color w:val="FFFFFF"/>
                <w:sz w:val="18"/>
              </w:rPr>
              <w:t>Evidence or repair</w:t>
            </w:r>
          </w:p>
        </w:tc>
      </w:tr>
      <w:tr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  <w:t>Every required concept is visible in the artifact.</w:t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  <w:r>
              <w:rPr>
                <w:rFonts w:ascii="Aptos" w:hAnsi="Aptos"/>
                <w:color w:val="14213D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  <w:t>A new reviewer can judge the artifact without seeing implementation code.</w:t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  <w:r>
              <w:rPr>
                <w:rFonts w:ascii="Aptos" w:hAnsi="Aptos"/>
                <w:color w:val="14213D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  <w:t>Unsupported claims remain assumptions or unknowns.</w:t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  <w:r>
              <w:rPr>
                <w:rFonts w:ascii="Aptos" w:hAnsi="Aptos"/>
                <w:color w:val="14213D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  <w:t>The neighbor-lesson boundary is explicit.</w:t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  <w:r>
              <w:rPr>
                <w:rFonts w:ascii="Aptos" w:hAnsi="Aptos"/>
                <w:color w:val="14213D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  <w:t>At least one human-owned decision is justified from evidence or explicit uncertainty.</w:t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  <w:r>
              <w:rPr>
                <w:rFonts w:ascii="Aptos" w:hAnsi="Aptos"/>
                <w:color w:val="14213D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  <w:t>The transfer response changes the context instead of copying surface wording.</w:t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  <w:r>
              <w:rPr>
                <w:rFonts w:ascii="Aptos" w:hAnsi="Aptos"/>
                <w:color w:val="14213D"/>
                <w:sz w:val="18"/>
              </w:rPr>
              <w:t>________________________________________________________________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D6B82"/>
        <w:sz w:val="16"/>
      </w:rPr>
      <w:t>Derived worksheet | canonical lesson remains authoritative | English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color w:val="5D6B82"/>
        <w:sz w:val="16"/>
      </w:rPr>
      <w:t>FND-001-P02 | Scope Box v1 | v1.0.0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4213D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46D3E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4213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FND-001-P02 - Scope Box v1 Worksheet</dc:title>
  <dc:subject>Define the work boundary: scope, constraints, and out of scope</dc:subject>
  <dc:creator>MAKNOW</dc:creator>
  <cp:keywords>FND-001-P02, worksheet, Scope Box v1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