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10263A"/>
          <w:sz w:val="40"/>
        </w:rPr>
        <w:t>AIE-014  |  Resumable Artifact Transfer Session &amp; Integrity Harness v1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Chunked and Resumable Transfer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Bounded outcome: </w:t>
            </w:r>
            <w:r>
              <w:rPr>
                <w:sz w:val="16"/>
              </w:rPr>
              <w:t>Design a chunked/resumable artifact-transfer contract that binds each session to the exact expected artifact digest and byte size, advances only from server-confirmed acknowledged state, rejects out-of-order chunks, preserves partial bytes as non-runnable, and publishes atomically only after exact final size and digest verification.</w:t>
            </w:r>
          </w:p>
        </w:tc>
      </w:tr>
    </w:tbl>
    <w:p>
      <w:r>
        <w:rPr>
          <w:b/>
        </w:rPr>
        <w:t>Evidence path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19"/>
        <w:gridCol w:w="4819"/>
        <w:gridCol w:w="4819"/>
      </w:tblGrid>
      <w:tr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Boundary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Inspectable claim</w:t>
            </w:r>
          </w:p>
        </w:tc>
        <w:tc>
          <w:tcPr>
            <w:tcW w:type="dxa" w:w="4819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Explicit non-claim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session id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session id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consumes immutable artifact identity from AIE-013; it does not redesign model variants or replica topology.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target artifact digest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target artifact digest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 completion does not grant license permission; AIE-015 owns model-license policy.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expected size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expected size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does not select an execution node; AIE-016 owns capability-aware scheduling.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chunk index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chunk index as a separate evidence boundary and close it only with inspectable observations from the bounded fixture.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 progress is not device-health telemetry; AIE-017 owns runtime telemetry.</w:t>
            </w:r>
          </w:p>
        </w:tc>
      </w:tr>
      <w:tr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sent range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sent range as a separate evidence boundary and close it only with inspectable observations from the bounded fixture.</w:t>
            </w:r>
          </w:p>
        </w:tc>
        <w:tc>
          <w:tcPr>
            <w:tcW w:type="dxa" w:w="4819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consumes immutable artifact identity from AIE-013; it does not redesign model variants or replica topology.</w:t>
            </w:r>
          </w:p>
        </w:tc>
      </w:tr>
      <w:tr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 BOUNDARY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Separate source facts, local observations, bounded inferences, and human decisions.</w:t>
            </w:r>
          </w:p>
        </w:tc>
        <w:tc>
          <w:tcPr>
            <w:tcW w:type="dxa" w:w="4819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Unavailable production behavior remains NOT_OBSERVED or NEEDS_VERIFICATION.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Acceptance gate: </w:t>
            </w:r>
            <w:r>
              <w:rPr>
                <w:sz w:val="16"/>
              </w:rPr>
              <w:t>Accept only when every critical dimension has inspectable evidence, the negative probe behaves as predicted, and changed-context transfer preserves a residual limitation.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AIE-014  |  Blank Evidence Record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Complete every field from retained observations; mark unavailable evidence OPEN.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Canonical field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Observed evidence / value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Evidence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Proves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Does not prove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Gate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OBSERVED / INFERRED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Source projection: </w:t>
            </w:r>
            <w:r>
              <w:rPr>
                <w:sz w:val="16"/>
              </w:rPr>
              <w:t>derived_text/tables/resumable_transfer_evidence_matrix.md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AIE-014  |  Evidence Index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Link every decision to a source, command, output, or explicitly bounded inference.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  <w:gridCol w:w="2410"/>
        <w:gridCol w:w="2410"/>
      </w:tblGrid>
      <w:tr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ID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type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Source / command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Observation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Supports / falsifies</w:t>
            </w:r>
          </w:p>
        </w:tc>
        <w:tc>
          <w:tcPr>
            <w:tcW w:type="dxa" w:w="2410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State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E-01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BASELINE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derived_text/tables/resumable_transfer_evidence_matrix.md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E-02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RUNTIME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python3 lab/AIE014-LAB1/run_checks.py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E-03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NEGATIVE PROBE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consumes the immutable artifact identity from AIE-013; it does not redesign model.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E-04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RECOVERY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Session Id evidence is inspectable and its non-claim remains explicit.</w:t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E-05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</w:r>
          </w:p>
        </w:tc>
        <w:tc>
          <w:tcPr>
            <w:tcW w:type="dxa" w:w="2410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Truth rule: </w:t>
            </w:r>
            <w:r>
              <w:rPr>
                <w:sz w:val="16"/>
              </w:rPr>
              <w:t>Runtime and security claims require retained output from the supplied bounded fixture. Source facts and static readiness are not promoted into production observations.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AIE-014  |  Decision Walkthrough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Run the evidence gates in order and preserve unresolved boundaries.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892"/>
        <w:gridCol w:w="2892"/>
        <w:gridCol w:w="2892"/>
        <w:gridCol w:w="2892"/>
        <w:gridCol w:w="2892"/>
      </w:tblGrid>
      <w:tr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Case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Change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Prediction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Evidence to retain</w:t>
            </w:r>
          </w:p>
        </w:tc>
        <w:tc>
          <w:tcPr>
            <w:tcW w:type="dxa" w:w="2892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Decision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server confirmed resume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EX1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session id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out of order reject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EX2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target artifact digest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digest quarantine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EX3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expected size as a separate evidence boundary and close it only with inspectable observations from the bounded fixture.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  <w:tr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size quarantine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EX4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Treat chunk index as a separate evidence boundary and close it only with inspectable observations from the bounded fixture.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bounded positive or negative evidence.</w:t>
            </w:r>
          </w:p>
        </w:tc>
        <w:tc>
          <w:tcPr>
            <w:tcW w:type="dxa" w:w="2892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Allowed states: </w:t>
            </w:r>
            <w:r>
              <w:rPr>
                <w:sz w:val="16"/>
              </w:rPr>
              <w:t>ACCEPT, REPAIR, DEFER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Guardrail: </w:t>
            </w:r>
            <w:r>
              <w:rPr>
                <w:sz w:val="16"/>
              </w:rPr>
              <w:t>A local deterministic fixture does not prove production identity, authorization, confidentiality, integrity, availability, recovery, enforcement, or system-wide security.</w:t>
            </w:r>
          </w:p>
        </w:tc>
      </w:tr>
    </w:tbl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AIE-014  |  Failure and Repair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Falsify shortcuts before accepting the bounded decision.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Failure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Signal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Repair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Recovery check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consumes the immutable artifact identity from AIE-013; it does not redesign model.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session id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session id facts from inference, unknowns, and.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Session Id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Transfer completion does not grant license permission; AIE-015 owns license policy.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target artifact digest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target artifact digest facts from inference.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Target Artifact Digest evidence is inspectable and its non-claim remains explicit.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This lesson does not decide which node should receive or execute the artifact; AIE-016 owns.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expected size boundary.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expected size facts from inference, unknowns, and.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Expected Size evidence is inspectable and its non-claim remains explicit.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Network progress is not device-health telemetry; AIE-017 owns runtime telemetry.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No retained evidence closes the chunk index boundary.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Retain the fixture output that distinguishes observed chunk index facts from inference, unknowns, and.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4"/>
              </w:rPr>
              <w:t>Chunk Index evidence is inspectable and its non-claim remains explicit.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DDF7E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Transfer case: </w:t>
            </w:r>
            <w:r>
              <w:rPr>
                <w:sz w:val="16"/>
              </w:rPr>
              <w:t>EX4</w:t>
            </w:r>
          </w:p>
        </w:tc>
      </w:tr>
    </w:tbl>
    <w:p>
      <w:r>
        <w:t>Transfer observation: __________________________________________________________________________________________</w:t>
      </w:r>
    </w:p>
    <w:p>
      <w:r>
        <w:t>Recomputed decision: ____________________________________________________________________________________________</w:t>
      </w:r>
    </w:p>
    <w:p>
      <w:r>
        <w:br w:type="page"/>
      </w:r>
    </w:p>
    <w:p>
      <w:pPr>
        <w:spacing w:after="40"/>
      </w:pPr>
      <w:r>
        <w:rPr>
          <w:rFonts w:ascii="Arial" w:hAnsi="Arial"/>
          <w:b/>
          <w:color w:val="10263A"/>
          <w:sz w:val="40"/>
        </w:rPr>
        <w:t>AIE-014  |  Review and Sign-off</w:t>
      </w:r>
    </w:p>
    <w:p>
      <w:pPr>
        <w:spacing w:after="140"/>
      </w:pPr>
      <w:r>
        <w:rPr>
          <w:rFonts w:ascii="Arial" w:hAnsi="Arial"/>
          <w:color w:val="476074"/>
          <w:sz w:val="18"/>
        </w:rPr>
        <w:t>Acceptance requires inspectable evidence plus an explicit residual limitation.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614"/>
        <w:gridCol w:w="3614"/>
        <w:gridCol w:w="3614"/>
        <w:gridCol w:w="3614"/>
      </w:tblGrid>
      <w:tr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 control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Required response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Reviewer evidence</w:t>
            </w:r>
          </w:p>
        </w:tc>
        <w:tc>
          <w:tcPr>
            <w:tcW w:type="dxa" w:w="3614"/>
            <w:shd w:fill="10263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Disposition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Canonical fields addressed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Negative probe retained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Recovery evidence retained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Changed-context transfer complete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Source facts separated from inference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Residual limitation explicit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YES</w:t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FFFFFF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  <w:tr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Final bounded decision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ACCEPT / REPAIR / DEFER</w:t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</w:r>
          </w:p>
        </w:tc>
        <w:tc>
          <w:tcPr>
            <w:tcW w:type="dxa" w:w="3614"/>
            <w:shd w:fill="E5F6FA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182536"/>
                <w:sz w:val="15"/>
              </w:rPr>
              <w:t>OPEN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4458"/>
      </w:tblGrid>
      <w:tr>
        <w:tc>
          <w:tcPr>
            <w:tcW w:type="dxa" w:w="14458"/>
            <w:shd w:fill="FFF0CC"/>
          </w:tcPr>
          <w:p>
            <w:pPr>
              <w:spacing w:after="0"/>
            </w:pPr>
            <w:r>
              <w:rPr>
                <w:b/>
                <w:sz w:val="16"/>
              </w:rPr>
              <w:t xml:space="preserve">First explicit non-claim: </w:t>
            </w:r>
            <w:r>
              <w:rPr>
                <w:sz w:val="16"/>
              </w:rPr>
              <w:t>This lesson consumes the immutable artifact identity from AIE-013; it does not redesign model variants or replica topology.</w:t>
            </w:r>
          </w:p>
        </w:tc>
      </w:tr>
    </w:tbl>
    <w:p>
      <w:r>
        <w:t>Reviewer: __________________________   Date: __________________   Record owner: __________________________</w:t>
      </w:r>
    </w:p>
    <w:sectPr w:rsidR="00FC693F" w:rsidRPr="0006063C" w:rsidSect="00034616">
      <w:pgSz w:w="15840" w:h="12240" w:orient="landscape"/>
      <w:pgMar w:top="648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182536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